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7676" w:rsidRPr="00E65049" w:rsidRDefault="00553FFB" w:rsidP="00E65049">
      <w:pPr>
        <w:spacing w:line="168" w:lineRule="auto"/>
        <w:rPr>
          <w:rFonts w:ascii="Arial Unicode MS" w:eastAsia="Arial Unicode MS" w:hAnsi="Arial Unicode MS" w:cs="Arial Unicode MS"/>
          <w:color w:val="404040"/>
          <w:spacing w:val="-2"/>
          <w:sz w:val="18"/>
          <w:szCs w:val="18"/>
          <w:lang w:val="en-US"/>
        </w:rPr>
      </w:pPr>
      <w:r>
        <w:rPr>
          <w:noProof/>
        </w:rPr>
        <w:drawing>
          <wp:anchor distT="0" distB="0" distL="114300" distR="114300" simplePos="0" relativeHeight="251657728" behindDoc="1" locked="0" layoutInCell="1" allowOverlap="1">
            <wp:simplePos x="0" y="0"/>
            <wp:positionH relativeFrom="column">
              <wp:posOffset>4064000</wp:posOffset>
            </wp:positionH>
            <wp:positionV relativeFrom="paragraph">
              <wp:posOffset>-60325</wp:posOffset>
            </wp:positionV>
            <wp:extent cx="1710055" cy="728345"/>
            <wp:effectExtent l="0" t="0" r="4445" b="0"/>
            <wp:wrapTight wrapText="bothSides">
              <wp:wrapPolygon edited="0">
                <wp:start x="0" y="0"/>
                <wp:lineTo x="0" y="20903"/>
                <wp:lineTo x="21416" y="20903"/>
                <wp:lineTo x="21416" y="0"/>
                <wp:lineTo x="0" y="0"/>
              </wp:wrapPolygon>
            </wp:wrapTight>
            <wp:docPr id="3" name="Afbeelding 2" descr="beta laatste f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descr="beta laatste fas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0055" cy="728345"/>
                    </a:xfrm>
                    <a:prstGeom prst="rect">
                      <a:avLst/>
                    </a:prstGeom>
                    <a:noFill/>
                  </pic:spPr>
                </pic:pic>
              </a:graphicData>
            </a:graphic>
          </wp:anchor>
        </w:drawing>
      </w:r>
      <w:r w:rsidR="00D67676" w:rsidRPr="00E65049">
        <w:rPr>
          <w:rFonts w:ascii="Arial Unicode MS" w:eastAsia="Arial Unicode MS" w:hAnsi="Arial Unicode MS" w:cs="Arial Unicode MS"/>
          <w:color w:val="404040"/>
          <w:spacing w:val="-2"/>
          <w:sz w:val="18"/>
          <w:szCs w:val="18"/>
          <w:lang w:val="en-US"/>
        </w:rPr>
        <w:t>Beta Public Relations B.V.</w:t>
      </w:r>
    </w:p>
    <w:p w:rsidR="00D67676" w:rsidRPr="00E65049" w:rsidRDefault="00D67676" w:rsidP="00E65049">
      <w:pPr>
        <w:spacing w:line="168" w:lineRule="auto"/>
        <w:rPr>
          <w:rFonts w:ascii="Arial Unicode MS" w:eastAsia="Arial Unicode MS" w:hAnsi="Arial Unicode MS" w:cs="Arial Unicode MS"/>
          <w:color w:val="404040"/>
          <w:spacing w:val="-2"/>
          <w:sz w:val="18"/>
          <w:szCs w:val="18"/>
        </w:rPr>
      </w:pPr>
      <w:r w:rsidRPr="00E65049">
        <w:rPr>
          <w:rFonts w:ascii="Arial Unicode MS" w:eastAsia="Arial Unicode MS" w:hAnsi="Arial Unicode MS" w:cs="Arial Unicode MS"/>
          <w:color w:val="404040"/>
          <w:spacing w:val="-2"/>
          <w:sz w:val="18"/>
          <w:szCs w:val="18"/>
        </w:rPr>
        <w:t>Veursestraatweg 104</w:t>
      </w:r>
    </w:p>
    <w:p w:rsidR="00D67676" w:rsidRPr="00E65049" w:rsidRDefault="00D67676" w:rsidP="00E65049">
      <w:pPr>
        <w:spacing w:line="168" w:lineRule="auto"/>
        <w:rPr>
          <w:rFonts w:ascii="Arial Unicode MS" w:eastAsia="Arial Unicode MS" w:hAnsi="Arial Unicode MS" w:cs="Arial Unicode MS"/>
          <w:color w:val="404040"/>
          <w:spacing w:val="-2"/>
          <w:sz w:val="18"/>
          <w:szCs w:val="18"/>
        </w:rPr>
      </w:pPr>
      <w:r w:rsidRPr="00E65049">
        <w:rPr>
          <w:rFonts w:ascii="Arial Unicode MS" w:eastAsia="Arial Unicode MS" w:hAnsi="Arial Unicode MS" w:cs="Arial Unicode MS"/>
          <w:color w:val="404040"/>
          <w:spacing w:val="-2"/>
          <w:sz w:val="18"/>
          <w:szCs w:val="18"/>
        </w:rPr>
        <w:t>2265 CG Leidschendam</w:t>
      </w:r>
    </w:p>
    <w:p w:rsidR="00D67676" w:rsidRPr="00E65049" w:rsidRDefault="00D67676" w:rsidP="00E65049">
      <w:pPr>
        <w:spacing w:line="168" w:lineRule="auto"/>
        <w:rPr>
          <w:rFonts w:ascii="Arial Unicode MS" w:eastAsia="Arial Unicode MS" w:hAnsi="Arial Unicode MS" w:cs="Arial Unicode MS"/>
          <w:color w:val="404040"/>
          <w:spacing w:val="-2"/>
          <w:sz w:val="18"/>
          <w:szCs w:val="18"/>
        </w:rPr>
      </w:pPr>
      <w:r w:rsidRPr="00E65049">
        <w:rPr>
          <w:rFonts w:ascii="Arial Unicode MS" w:eastAsia="Arial Unicode MS" w:hAnsi="Arial Unicode MS" w:cs="Arial Unicode MS"/>
          <w:color w:val="404040"/>
          <w:spacing w:val="-2"/>
          <w:sz w:val="18"/>
          <w:szCs w:val="18"/>
        </w:rPr>
        <w:t>T. 070 427 5200</w:t>
      </w:r>
    </w:p>
    <w:p w:rsidR="00D67676" w:rsidRPr="00E65049" w:rsidRDefault="00D67676" w:rsidP="00E65049">
      <w:pPr>
        <w:spacing w:line="168" w:lineRule="auto"/>
        <w:rPr>
          <w:rFonts w:ascii="Arial Unicode MS" w:eastAsia="Arial Unicode MS" w:hAnsi="Arial Unicode MS" w:cs="Arial Unicode MS"/>
          <w:color w:val="404040"/>
          <w:spacing w:val="-2"/>
          <w:sz w:val="18"/>
          <w:szCs w:val="18"/>
        </w:rPr>
      </w:pPr>
      <w:r w:rsidRPr="00E65049">
        <w:rPr>
          <w:rFonts w:ascii="Arial Unicode MS" w:eastAsia="Arial Unicode MS" w:hAnsi="Arial Unicode MS" w:cs="Arial Unicode MS"/>
          <w:color w:val="404040"/>
          <w:spacing w:val="-2"/>
          <w:sz w:val="18"/>
          <w:szCs w:val="18"/>
        </w:rPr>
        <w:t>E. info@betapr.nl</w:t>
      </w:r>
    </w:p>
    <w:p w:rsidR="00D67676" w:rsidRDefault="00D67676" w:rsidP="00361BAE">
      <w:pPr>
        <w:pStyle w:val="Body"/>
      </w:pPr>
    </w:p>
    <w:p w:rsidR="00A66C4D" w:rsidRDefault="00EC54D9" w:rsidP="00655968">
      <w:pPr>
        <w:pStyle w:val="Kop"/>
      </w:pPr>
      <w:r>
        <w:t>Veilige en k</w:t>
      </w:r>
      <w:r w:rsidR="00655968">
        <w:t xml:space="preserve">ostenbesparende bekistingsoplossingen voor </w:t>
      </w:r>
      <w:r>
        <w:t xml:space="preserve">De </w:t>
      </w:r>
      <w:r w:rsidR="00655968">
        <w:t>Centrale As</w:t>
      </w:r>
    </w:p>
    <w:p w:rsidR="00655968" w:rsidRPr="00071B75" w:rsidRDefault="00655968" w:rsidP="00071B75">
      <w:pPr>
        <w:pStyle w:val="Body"/>
      </w:pPr>
    </w:p>
    <w:p w:rsidR="006A0104" w:rsidRPr="00071B75" w:rsidRDefault="00EC54D9" w:rsidP="00071B75">
      <w:pPr>
        <w:pStyle w:val="Body"/>
      </w:pPr>
      <w:r>
        <w:t>D</w:t>
      </w:r>
      <w:r w:rsidR="00655968" w:rsidRPr="00071B75">
        <w:t xml:space="preserve">e Centrale As, </w:t>
      </w:r>
      <w:r w:rsidR="006A0104" w:rsidRPr="00071B75">
        <w:t xml:space="preserve">een nieuwe autoweg met 2x2 rijstroken en ongelijkvloerse kruisingen, </w:t>
      </w:r>
      <w:r>
        <w:t xml:space="preserve">gaat </w:t>
      </w:r>
      <w:r w:rsidR="006A0104" w:rsidRPr="00071B75">
        <w:t xml:space="preserve">de nieuwe verbindingsweg tussen Nijega en Dokkum </w:t>
      </w:r>
      <w:r>
        <w:t>vormen</w:t>
      </w:r>
      <w:r w:rsidR="006A0104" w:rsidRPr="00071B75">
        <w:t xml:space="preserve">. </w:t>
      </w:r>
      <w:r>
        <w:t>Met de aanleg hiervan verbeteren de verkeersveiligheid en leefbaarheid van Noordoost-Friesland. D</w:t>
      </w:r>
      <w:r w:rsidR="006A0104" w:rsidRPr="00071B75">
        <w:t xml:space="preserve">e bouw van </w:t>
      </w:r>
      <w:r>
        <w:t xml:space="preserve">verschillende kunstwerken </w:t>
      </w:r>
      <w:r w:rsidR="006A0104" w:rsidRPr="00071B75">
        <w:t xml:space="preserve">wordt </w:t>
      </w:r>
      <w:r>
        <w:t>hierbij uitgevoerd met veilige,</w:t>
      </w:r>
      <w:r w:rsidR="006A0104" w:rsidRPr="00071B75">
        <w:t xml:space="preserve"> kostenbesparende </w:t>
      </w:r>
      <w:r>
        <w:t xml:space="preserve">en herbruikbare </w:t>
      </w:r>
      <w:r w:rsidR="006A0104" w:rsidRPr="00071B75">
        <w:t>bekistingsoplossingen van Doka Nederland.</w:t>
      </w:r>
    </w:p>
    <w:p w:rsidR="00071B75" w:rsidRPr="00071B75" w:rsidRDefault="00071B75" w:rsidP="00071B75">
      <w:pPr>
        <w:pStyle w:val="Body"/>
      </w:pPr>
    </w:p>
    <w:p w:rsidR="0077433A" w:rsidRDefault="00071B75" w:rsidP="00071B75">
      <w:pPr>
        <w:pStyle w:val="Body"/>
      </w:pPr>
      <w:r w:rsidRPr="00071B75">
        <w:t xml:space="preserve">De werkzaamheden voor De Centrale As zijn opgesplitst in drie deelgebieden met elk meerdere contracten. </w:t>
      </w:r>
      <w:r>
        <w:t xml:space="preserve">Deelgebied </w:t>
      </w:r>
      <w:r w:rsidRPr="00071B75">
        <w:t>Midden 2 ligt daarbij tussen de nieuwe rondweg van Garyp en de Zomerweg. Dit traject, dat gerealiseerd wordt door Bouwcombinatie Nije Daam</w:t>
      </w:r>
      <w:r>
        <w:t xml:space="preserve"> (</w:t>
      </w:r>
      <w:r w:rsidRPr="00071B75">
        <w:t>Mobilis, Van Gelder en Friso Civiel</w:t>
      </w:r>
      <w:r>
        <w:t>)</w:t>
      </w:r>
      <w:r w:rsidRPr="00071B75">
        <w:t xml:space="preserve">, omvat </w:t>
      </w:r>
      <w:r w:rsidR="00F335C0">
        <w:t xml:space="preserve">ter hoogte van Burgum </w:t>
      </w:r>
      <w:r w:rsidR="007A7A48">
        <w:t>onder meer</w:t>
      </w:r>
      <w:r w:rsidR="0077433A">
        <w:t xml:space="preserve"> een onderdoorgang, viaducten, een beweegbare brug</w:t>
      </w:r>
      <w:r w:rsidR="007A7A48">
        <w:t xml:space="preserve"> en </w:t>
      </w:r>
      <w:r w:rsidR="0077433A">
        <w:t>een aquaduct</w:t>
      </w:r>
      <w:r w:rsidR="007A7A48">
        <w:t>.</w:t>
      </w:r>
    </w:p>
    <w:p w:rsidR="0077433A" w:rsidRPr="0077433A" w:rsidRDefault="0077433A" w:rsidP="0077433A">
      <w:pPr>
        <w:pStyle w:val="Body"/>
      </w:pPr>
    </w:p>
    <w:p w:rsidR="0077433A" w:rsidRPr="0077433A" w:rsidRDefault="0077433A" w:rsidP="0077433A">
      <w:pPr>
        <w:pStyle w:val="Body"/>
        <w:rPr>
          <w:u w:val="single"/>
        </w:rPr>
      </w:pPr>
      <w:r w:rsidRPr="0077433A">
        <w:rPr>
          <w:u w:val="single"/>
        </w:rPr>
        <w:t>Aquaduct</w:t>
      </w:r>
    </w:p>
    <w:p w:rsidR="0077433A" w:rsidRDefault="0077433A" w:rsidP="0077433A">
      <w:pPr>
        <w:pStyle w:val="Body"/>
      </w:pPr>
      <w:r w:rsidRPr="0077433A">
        <w:t xml:space="preserve">Ten westen van Burgum gaat De Centrale As als verdiept aquaduct onder het Prinses Margrietkanaal door. </w:t>
      </w:r>
      <w:r>
        <w:t xml:space="preserve">Het aquaduct </w:t>
      </w:r>
      <w:r w:rsidR="00613987">
        <w:t>wordt naast het kanaa</w:t>
      </w:r>
      <w:r w:rsidR="00F335C0">
        <w:t xml:space="preserve">l </w:t>
      </w:r>
      <w:r w:rsidRPr="0077433A">
        <w:t xml:space="preserve">‘droog’ in het weiland voorbereid. </w:t>
      </w:r>
      <w:r w:rsidR="00773ECA">
        <w:t xml:space="preserve">Na </w:t>
      </w:r>
      <w:r w:rsidR="00773ECA" w:rsidRPr="00773ECA">
        <w:t xml:space="preserve">de bouw van het aquaduct </w:t>
      </w:r>
      <w:r w:rsidR="00773ECA">
        <w:t>wordt h</w:t>
      </w:r>
      <w:r w:rsidR="00773ECA" w:rsidRPr="00773ECA">
        <w:t>et Prinses Margrietkanaal naar het zuiden verlegd</w:t>
      </w:r>
      <w:r w:rsidR="00773ECA">
        <w:t xml:space="preserve"> en komt aan </w:t>
      </w:r>
      <w:r w:rsidRPr="0077433A">
        <w:t>de zuidzijde een moerasoever zodat de natuurlijk</w:t>
      </w:r>
      <w:r w:rsidR="00F335C0">
        <w:t>e</w:t>
      </w:r>
      <w:r w:rsidRPr="0077433A">
        <w:t xml:space="preserve"> oeverlijn blijft bestaan.</w:t>
      </w:r>
    </w:p>
    <w:p w:rsidR="00A84823" w:rsidRDefault="009978C9" w:rsidP="0077433A">
      <w:pPr>
        <w:pStyle w:val="Body"/>
      </w:pPr>
      <w:r>
        <w:t xml:space="preserve">Voor het in het werk storten van de wanden en het dek van het aquaduct wordt gebruik gemaakt van </w:t>
      </w:r>
      <w:r w:rsidR="00F335C0">
        <w:t>een bekistingsoplossing</w:t>
      </w:r>
      <w:r>
        <w:t xml:space="preserve"> die Doka Nederland speciaal voor dit projectdeel ontwikkelde. </w:t>
      </w:r>
      <w:r w:rsidR="009240DF">
        <w:t xml:space="preserve">Het aquaduct wordt verdiept aangelegd waarbij het diepste punt op circa 10 meter ligt. Na het storten van de vloer en het droogpompen werd voor het in het werk storten van de aquaductwanden gebruik gemaakt van Doka-bekistingssystemen. </w:t>
      </w:r>
    </w:p>
    <w:p w:rsidR="00A84823" w:rsidRDefault="00A84823" w:rsidP="0077433A">
      <w:pPr>
        <w:pStyle w:val="Body"/>
      </w:pPr>
    </w:p>
    <w:p w:rsidR="00A84823" w:rsidRDefault="00187E83" w:rsidP="0077433A">
      <w:pPr>
        <w:pStyle w:val="Body"/>
      </w:pPr>
      <w:r>
        <w:t xml:space="preserve">Met het oog op het gewenste schoonwerk van de </w:t>
      </w:r>
      <w:r w:rsidR="00857299">
        <w:t xml:space="preserve">tussenwand wordt </w:t>
      </w:r>
      <w:r>
        <w:t xml:space="preserve">deze </w:t>
      </w:r>
      <w:r w:rsidR="00857299">
        <w:t>gerealiseerd met Doka’s Top50-bekistingssysteem</w:t>
      </w:r>
      <w:r w:rsidR="00A84823">
        <w:t xml:space="preserve">. </w:t>
      </w:r>
      <w:r w:rsidR="006576EA">
        <w:t xml:space="preserve">Deze </w:t>
      </w:r>
      <w:r w:rsidR="006576EA" w:rsidRPr="006576EA">
        <w:t xml:space="preserve">bekisting kan volledig projectspecifiek worden samengesteld, waardoor vorm, grootte, ankerbeeld en bekistingsplaat aan elke behoefte kunnen worden aangepast. </w:t>
      </w:r>
      <w:r w:rsidR="00A84823">
        <w:t xml:space="preserve">Aan </w:t>
      </w:r>
      <w:r w:rsidR="00263581">
        <w:t>begin- en eind</w:t>
      </w:r>
      <w:r w:rsidR="00A84823">
        <w:t xml:space="preserve">zijde van de tunnel zijn in de tussenwand openingen voorzien die in het toekomstige aquaduct voor extra daglichttoetreding moeten zorgen. Het raamwerk waarmee deze openingen </w:t>
      </w:r>
      <w:r w:rsidR="006576EA">
        <w:t xml:space="preserve">tijdens het storten </w:t>
      </w:r>
      <w:r w:rsidR="00A84823">
        <w:t>in het beton worden uitgespaard</w:t>
      </w:r>
      <w:r w:rsidR="006576EA">
        <w:t>,</w:t>
      </w:r>
      <w:r w:rsidR="00A84823">
        <w:t xml:space="preserve"> </w:t>
      </w:r>
      <w:r w:rsidR="006576EA">
        <w:t xml:space="preserve">kan meerdere malen worden </w:t>
      </w:r>
      <w:r w:rsidR="00A84823">
        <w:t xml:space="preserve">hergebruikt. </w:t>
      </w:r>
    </w:p>
    <w:p w:rsidR="00A84823" w:rsidRDefault="00A84823" w:rsidP="0077433A">
      <w:pPr>
        <w:pStyle w:val="Body"/>
      </w:pPr>
    </w:p>
    <w:p w:rsidR="009978C9" w:rsidRDefault="009240DF" w:rsidP="0077433A">
      <w:pPr>
        <w:pStyle w:val="Body"/>
      </w:pPr>
      <w:r>
        <w:t xml:space="preserve">Voor </w:t>
      </w:r>
      <w:r w:rsidR="006576EA">
        <w:t xml:space="preserve">het in het werk storten van </w:t>
      </w:r>
      <w:r>
        <w:t xml:space="preserve">de </w:t>
      </w:r>
      <w:r w:rsidR="006576EA">
        <w:t xml:space="preserve">betonnen </w:t>
      </w:r>
      <w:r>
        <w:t>buitenwand</w:t>
      </w:r>
      <w:r w:rsidR="00A84823">
        <w:t>en</w:t>
      </w:r>
      <w:r>
        <w:t xml:space="preserve"> viel de keuze op </w:t>
      </w:r>
      <w:r w:rsidR="006576EA">
        <w:t xml:space="preserve">het </w:t>
      </w:r>
      <w:r>
        <w:t xml:space="preserve">Framax </w:t>
      </w:r>
      <w:r w:rsidR="006576EA">
        <w:t xml:space="preserve">bekistingssysteem van Doka. Hiermee kan de </w:t>
      </w:r>
      <w:r>
        <w:t xml:space="preserve">volledige aquaducthoogte </w:t>
      </w:r>
      <w:r w:rsidR="006576EA">
        <w:t>in het werk worden gestort</w:t>
      </w:r>
      <w:r>
        <w:t xml:space="preserve">. Opvallend detail is de latere afwerking van de </w:t>
      </w:r>
      <w:r w:rsidR="00263581">
        <w:t xml:space="preserve">zichtzijde van de </w:t>
      </w:r>
      <w:r>
        <w:t>buitenwand</w:t>
      </w:r>
      <w:r w:rsidR="00263581">
        <w:t>en</w:t>
      </w:r>
      <w:r>
        <w:t xml:space="preserve">: de architect koos hiervoor CorTen-staal dat een </w:t>
      </w:r>
      <w:r w:rsidRPr="009240DF">
        <w:t xml:space="preserve">roestbruine kleur aan het uiterlijk van </w:t>
      </w:r>
      <w:r w:rsidR="003420A0">
        <w:t xml:space="preserve">het kunstwerk geeft </w:t>
      </w:r>
      <w:r w:rsidR="00A84823">
        <w:t xml:space="preserve">en </w:t>
      </w:r>
      <w:r w:rsidR="003420A0">
        <w:t>de doorsnijding van de grondlagen symboliseert</w:t>
      </w:r>
      <w:r w:rsidRPr="009240DF">
        <w:t>.</w:t>
      </w:r>
    </w:p>
    <w:p w:rsidR="009978C9" w:rsidRDefault="009978C9" w:rsidP="0077433A">
      <w:pPr>
        <w:pStyle w:val="Body"/>
      </w:pPr>
    </w:p>
    <w:p w:rsidR="009A41B8" w:rsidRDefault="009A41B8">
      <w:pPr>
        <w:rPr>
          <w:rFonts w:ascii="Arial Unicode MS" w:eastAsia="Arial Unicode MS" w:hAnsi="Arial Unicode MS" w:cs="Arial Unicode MS"/>
          <w:sz w:val="20"/>
          <w:szCs w:val="21"/>
          <w:u w:val="single"/>
        </w:rPr>
      </w:pPr>
      <w:r>
        <w:rPr>
          <w:u w:val="single"/>
        </w:rPr>
        <w:br w:type="page"/>
      </w:r>
    </w:p>
    <w:p w:rsidR="00D215A9" w:rsidRPr="00D215A9" w:rsidRDefault="00D215A9" w:rsidP="0077433A">
      <w:pPr>
        <w:pStyle w:val="Body"/>
        <w:rPr>
          <w:u w:val="single"/>
        </w:rPr>
      </w:pPr>
      <w:r w:rsidRPr="00D215A9">
        <w:rPr>
          <w:u w:val="single"/>
        </w:rPr>
        <w:lastRenderedPageBreak/>
        <w:t>Tijdbesparende dekbekisting</w:t>
      </w:r>
    </w:p>
    <w:p w:rsidR="00E20697" w:rsidRPr="009A41B8" w:rsidRDefault="003420A0" w:rsidP="0077433A">
      <w:pPr>
        <w:pStyle w:val="Body"/>
      </w:pPr>
      <w:r>
        <w:t>Voor het dek</w:t>
      </w:r>
      <w:r w:rsidR="00E20697" w:rsidRPr="00E20697">
        <w:t xml:space="preserve"> </w:t>
      </w:r>
      <w:r w:rsidR="00E20697">
        <w:t xml:space="preserve">van het aquaduct, dat in twee delen werd gestort, </w:t>
      </w:r>
      <w:r>
        <w:t>ontwikkelde Doka een o</w:t>
      </w:r>
      <w:r w:rsidR="009978C9">
        <w:t xml:space="preserve">pmerkelijk </w:t>
      </w:r>
      <w:r>
        <w:t xml:space="preserve">oplossing. Hier werden </w:t>
      </w:r>
      <w:r w:rsidR="009978C9">
        <w:t>door Doka getimmerde prefab-bekistingsdelen gecombineerd met in het werk gemonteerde ondersteuningstorens van het type Staxo100.</w:t>
      </w:r>
      <w:r w:rsidR="00894DF2">
        <w:t xml:space="preserve"> </w:t>
      </w:r>
      <w:r w:rsidR="00CE01A4" w:rsidRPr="009A41B8">
        <w:t xml:space="preserve">Deze torens bieden als voordeel dat ze </w:t>
      </w:r>
      <w:r w:rsidR="00894DF2" w:rsidRPr="009A41B8">
        <w:t xml:space="preserve">liggend </w:t>
      </w:r>
      <w:r w:rsidR="00CE01A4" w:rsidRPr="009A41B8">
        <w:t>kunnen worden opgebouwd</w:t>
      </w:r>
      <w:r w:rsidR="009A41B8" w:rsidRPr="009A41B8">
        <w:t xml:space="preserve"> zodat voor de opbouw niet in de torens hoeft te worden geklauterd. De in elkaar gebouwde torens kunnen vervolgens worden gehesen en op hun plaats worden geplaatst.</w:t>
      </w:r>
      <w:r w:rsidR="00894DF2" w:rsidRPr="009A41B8">
        <w:t xml:space="preserve"> </w:t>
      </w:r>
      <w:r w:rsidR="009A41B8" w:rsidRPr="009A41B8">
        <w:t xml:space="preserve">Op deze manier </w:t>
      </w:r>
      <w:r w:rsidR="00894DF2" w:rsidRPr="009A41B8">
        <w:t xml:space="preserve">kon </w:t>
      </w:r>
      <w:r w:rsidR="009A41B8" w:rsidRPr="009A41B8">
        <w:t xml:space="preserve">het </w:t>
      </w:r>
      <w:r w:rsidR="00894DF2" w:rsidRPr="009A41B8">
        <w:t xml:space="preserve">volledige vloerveld </w:t>
      </w:r>
      <w:r w:rsidR="009A41B8">
        <w:t xml:space="preserve">van het aquaduct </w:t>
      </w:r>
      <w:r w:rsidR="009A41B8" w:rsidRPr="009A41B8">
        <w:t xml:space="preserve">worden opgebouwd en kon </w:t>
      </w:r>
      <w:r w:rsidR="00E20697" w:rsidRPr="009A41B8">
        <w:t>het 1.500 m</w:t>
      </w:r>
      <w:r w:rsidR="00E20697" w:rsidRPr="009A41B8">
        <w:rPr>
          <w:vertAlign w:val="superscript"/>
        </w:rPr>
        <w:t>2</w:t>
      </w:r>
      <w:r w:rsidR="00E20697" w:rsidRPr="009A41B8">
        <w:t xml:space="preserve"> metende dek in twee stortgangen zonder onnodig de</w:t>
      </w:r>
      <w:r w:rsidR="009A41B8" w:rsidRPr="009A41B8">
        <w:t xml:space="preserve">montagewerk worden gerealiseerd; </w:t>
      </w:r>
      <w:r w:rsidR="00894DF2" w:rsidRPr="009A41B8">
        <w:t xml:space="preserve">de vloerbekisting </w:t>
      </w:r>
      <w:r w:rsidR="009A41B8" w:rsidRPr="009A41B8">
        <w:t xml:space="preserve">kon </w:t>
      </w:r>
      <w:r w:rsidR="00894DF2" w:rsidRPr="009A41B8">
        <w:t>in slechts 5 dagen tijd worden ontkist.</w:t>
      </w:r>
    </w:p>
    <w:p w:rsidR="00E20697" w:rsidRPr="009A41B8" w:rsidRDefault="00E20697" w:rsidP="0077433A">
      <w:pPr>
        <w:pStyle w:val="Body"/>
      </w:pPr>
    </w:p>
    <w:p w:rsidR="00A84823" w:rsidRDefault="00A84823" w:rsidP="0077433A">
      <w:pPr>
        <w:pStyle w:val="Body"/>
      </w:pPr>
      <w:r>
        <w:t xml:space="preserve">De </w:t>
      </w:r>
      <w:r w:rsidR="00E20697">
        <w:t>uit</w:t>
      </w:r>
      <w:r>
        <w:t>einden van het dek lopen aan weerszijde gebogen omhoog</w:t>
      </w:r>
      <w:r w:rsidR="00DF4416">
        <w:t xml:space="preserve"> tot boven het maaiveld</w:t>
      </w:r>
      <w:r>
        <w:t xml:space="preserve">. Om deze vorm veilig en snel in het werk te kunnen storen, ontwikkelde Doka Nederland speciale schaaldelen die getimmerd </w:t>
      </w:r>
      <w:r w:rsidR="00DF4416">
        <w:t xml:space="preserve">en voorzien van alle veiligheidsvoorzieningen werden </w:t>
      </w:r>
      <w:r>
        <w:t xml:space="preserve">aangeleverd en ondersteund werden door Staxo100 ondersteuningstorens. </w:t>
      </w:r>
    </w:p>
    <w:p w:rsidR="009978C9" w:rsidRDefault="00A84823" w:rsidP="0077433A">
      <w:pPr>
        <w:pStyle w:val="Body"/>
      </w:pPr>
      <w:r>
        <w:t xml:space="preserve"> </w:t>
      </w:r>
    </w:p>
    <w:p w:rsidR="0077433A" w:rsidRPr="00A84823" w:rsidRDefault="0077433A" w:rsidP="0077433A">
      <w:pPr>
        <w:pStyle w:val="Body"/>
        <w:rPr>
          <w:u w:val="single"/>
        </w:rPr>
      </w:pPr>
      <w:r w:rsidRPr="00A84823">
        <w:rPr>
          <w:u w:val="single"/>
        </w:rPr>
        <w:t>Onderdoorgangen</w:t>
      </w:r>
    </w:p>
    <w:p w:rsidR="0077433A" w:rsidRDefault="0077433A" w:rsidP="0077433A">
      <w:pPr>
        <w:pStyle w:val="Body"/>
      </w:pPr>
      <w:r w:rsidRPr="0077433A">
        <w:t xml:space="preserve">Waar De Centrale As de </w:t>
      </w:r>
      <w:r w:rsidR="00DF4416">
        <w:t xml:space="preserve">Burgumse </w:t>
      </w:r>
      <w:r w:rsidRPr="0077433A">
        <w:t xml:space="preserve">Zomerweg doorsnijdt, wordt de verbinding hersteld met een onderdoorgang voor het verkeer. </w:t>
      </w:r>
      <w:r w:rsidR="007A7A48">
        <w:t xml:space="preserve">Ook hiervoor leverde Doka Nederland </w:t>
      </w:r>
      <w:r w:rsidR="00187E83">
        <w:t>de bekisting in de vorm van het Top50-bekistingssysteem. De tunnelwanden zijn schuin uitgevoerd om het gevoel van sociale veiligheid te verbeteren</w:t>
      </w:r>
      <w:r w:rsidR="00DF4416">
        <w:t xml:space="preserve"> terwijl alle </w:t>
      </w:r>
      <w:r w:rsidR="00187E83">
        <w:t>zichtdelen van de tunnelwanden zijn voorzien van speciaal door de architect geselecteerde profielmatten. De profilering die hiermee op het beton wordt aangebracht</w:t>
      </w:r>
      <w:r w:rsidR="00DF4416">
        <w:t>,</w:t>
      </w:r>
      <w:r w:rsidR="00187E83">
        <w:t xml:space="preserve"> loopt ook door aan het einde van de tunnelwand wanneer deze rond wegloopt. </w:t>
      </w:r>
    </w:p>
    <w:p w:rsidR="009D1E23" w:rsidRDefault="009D1E23" w:rsidP="0077433A">
      <w:pPr>
        <w:pStyle w:val="Body"/>
      </w:pPr>
    </w:p>
    <w:p w:rsidR="009D1E23" w:rsidRDefault="009D1E23" w:rsidP="0077433A">
      <w:pPr>
        <w:pStyle w:val="Body"/>
      </w:pPr>
      <w:r>
        <w:t>De door Doka ontwikkelde bekistingsoplossing op basis van het Top50-systeem wordt na het storten van de onderdoorgang aan de Zomerweg nog 3 keer hergebruikt. De 2 meter brede en 5 meter hoge bekistingsdelen worden hierbij in zijn geheel naar de volgende onderdoorgang getransporteerd</w:t>
      </w:r>
      <w:r w:rsidR="00D215A9">
        <w:t xml:space="preserve"> en daar weer gemonteerd</w:t>
      </w:r>
      <w:r>
        <w:t>. Naast de onderdoorgang Zomer</w:t>
      </w:r>
      <w:r w:rsidR="00413A29">
        <w:t>weg</w:t>
      </w:r>
      <w:r>
        <w:t xml:space="preserve"> worden zo ook de onderdoorgangen Joute</w:t>
      </w:r>
      <w:r w:rsidR="00413A29">
        <w:t xml:space="preserve"> vd Meerweg</w:t>
      </w:r>
      <w:r>
        <w:t xml:space="preserve">, </w:t>
      </w:r>
      <w:r w:rsidR="00413A29">
        <w:t xml:space="preserve">De </w:t>
      </w:r>
      <w:r>
        <w:t xml:space="preserve">Tike en Sumar met deze </w:t>
      </w:r>
      <w:r w:rsidR="00DF4416">
        <w:t>Doka-</w:t>
      </w:r>
      <w:r>
        <w:t>bekisting gerealiseerd.</w:t>
      </w:r>
    </w:p>
    <w:p w:rsidR="0005122D" w:rsidRPr="00D215A9" w:rsidRDefault="0005122D" w:rsidP="00D215A9">
      <w:pPr>
        <w:pStyle w:val="Body"/>
      </w:pPr>
    </w:p>
    <w:p w:rsidR="0005122D" w:rsidRPr="006A0104" w:rsidRDefault="0005122D" w:rsidP="0005122D">
      <w:pPr>
        <w:pStyle w:val="Body"/>
      </w:pPr>
      <w:r>
        <w:t xml:space="preserve">Naast de onderdoorgang en het aquaduct levert Doka Nederland ook het bekistingsysteem voor de nieuwe brug bij Burgum. Deze basculebrug gaat ruimte bieden aan het autoverkeer en langzaam verkeer. Onder de brug zijn aan beide kanten van het kanaal verbindingen voor fietsers en voetgangers voorzien. De bekistingen van Doka worden hier ingezet voor het in het werk storten van </w:t>
      </w:r>
      <w:r w:rsidR="00114983">
        <w:t>de pij</w:t>
      </w:r>
      <w:r w:rsidR="00B24E3E">
        <w:t>lers en landhoofden van de brug en de Basculekelder.</w:t>
      </w:r>
    </w:p>
    <w:p w:rsidR="00D215A9" w:rsidRPr="00D215A9" w:rsidRDefault="00D215A9" w:rsidP="00D215A9">
      <w:pPr>
        <w:pStyle w:val="Body"/>
      </w:pPr>
    </w:p>
    <w:p w:rsidR="004A4ED7" w:rsidRPr="003D16B7" w:rsidRDefault="004A4ED7" w:rsidP="0077433A">
      <w:pPr>
        <w:pStyle w:val="Body"/>
        <w:rPr>
          <w:u w:val="single"/>
        </w:rPr>
      </w:pPr>
      <w:r w:rsidRPr="003D16B7">
        <w:rPr>
          <w:u w:val="single"/>
        </w:rPr>
        <w:t>Integrale veiligheid</w:t>
      </w:r>
    </w:p>
    <w:p w:rsidR="00D215A9" w:rsidRDefault="004A4ED7" w:rsidP="003D16B7">
      <w:pPr>
        <w:pStyle w:val="Body"/>
      </w:pPr>
      <w:r>
        <w:t xml:space="preserve">Alle door Doka geleverd bekistingsoplossingen worden geleverd met geïntegreerde veiligheidsvoorzieningen. </w:t>
      </w:r>
      <w:r w:rsidR="003D16B7">
        <w:t xml:space="preserve">Vanaf het voortraject werd meegedacht over de mogelijke voorzieningen om de veiligheid tijdens monteren en demonteren, storten en ontkisten </w:t>
      </w:r>
      <w:r w:rsidR="00D215A9">
        <w:t>te garanderen</w:t>
      </w:r>
      <w:r w:rsidR="003D16B7">
        <w:t xml:space="preserve">. </w:t>
      </w:r>
      <w:r w:rsidR="00D215A9">
        <w:t xml:space="preserve">Hiertoe worden onder het </w:t>
      </w:r>
      <w:r w:rsidR="003D16B7">
        <w:t xml:space="preserve">veiligheidswerkplatform Xsafe Plus en het veiligheidsrugweersysteem </w:t>
      </w:r>
      <w:r>
        <w:t>X</w:t>
      </w:r>
      <w:r w:rsidR="00D215A9">
        <w:t>P ingezet.</w:t>
      </w:r>
    </w:p>
    <w:p w:rsidR="00D215A9" w:rsidRPr="003D16B7" w:rsidRDefault="00D215A9" w:rsidP="003D16B7">
      <w:pPr>
        <w:pStyle w:val="Body"/>
      </w:pPr>
    </w:p>
    <w:p w:rsidR="0005122D" w:rsidRDefault="003D16B7" w:rsidP="003D16B7">
      <w:pPr>
        <w:pStyle w:val="Body"/>
      </w:pPr>
      <w:r w:rsidRPr="003D16B7">
        <w:lastRenderedPageBreak/>
        <w:t xml:space="preserve">De voorgemonteerde, opklapbare werkvloeren </w:t>
      </w:r>
      <w:r>
        <w:t xml:space="preserve">van het Xsafe Plus-systeem zijn voorzien van </w:t>
      </w:r>
      <w:r w:rsidRPr="003D16B7">
        <w:t>integreerbare zijleuningen, ladders en zelfsluitende mangaten</w:t>
      </w:r>
      <w:r>
        <w:t>.</w:t>
      </w:r>
      <w:r w:rsidRPr="003D16B7">
        <w:t xml:space="preserve"> De vloer van het platform wordt door een stalen kader beschermd tegen beschadigingen op </w:t>
      </w:r>
      <w:r w:rsidR="00D215A9">
        <w:t>de bouwlocatie</w:t>
      </w:r>
      <w:r w:rsidRPr="003D16B7">
        <w:t>. Door schoorsteun</w:t>
      </w:r>
      <w:r>
        <w:t>en kan</w:t>
      </w:r>
      <w:r w:rsidRPr="003D16B7">
        <w:t xml:space="preserve"> de hellingshoek van het Xsafe plus platform tot 5 graden worden aangepast. De werkvloer blijft hierbij altijd horizontaal en biedt </w:t>
      </w:r>
      <w:r w:rsidR="00D215A9">
        <w:t>zo een veilige werkplek</w:t>
      </w:r>
      <w:r w:rsidRPr="003D16B7">
        <w:t xml:space="preserve">, ook bij hellende bekistingseenheden. </w:t>
      </w:r>
    </w:p>
    <w:p w:rsidR="00D215A9" w:rsidRDefault="00D215A9" w:rsidP="003D16B7">
      <w:pPr>
        <w:pStyle w:val="Body"/>
      </w:pPr>
    </w:p>
    <w:p w:rsidR="0005122D" w:rsidRDefault="0005122D" w:rsidP="003D16B7">
      <w:pPr>
        <w:pStyle w:val="Body"/>
      </w:pPr>
      <w:r>
        <w:t>Het veiligheidsrugweersysteem XP</w:t>
      </w:r>
      <w:r w:rsidRPr="0005122D">
        <w:t xml:space="preserve"> is </w:t>
      </w:r>
      <w:r>
        <w:t xml:space="preserve">een universele oplossing </w:t>
      </w:r>
      <w:r w:rsidR="00D215A9">
        <w:t>die aan</w:t>
      </w:r>
      <w:r>
        <w:t xml:space="preserve">sluit </w:t>
      </w:r>
      <w:r w:rsidR="00D215A9">
        <w:t xml:space="preserve">op </w:t>
      </w:r>
      <w:r>
        <w:t>alle Doka bekistingssystemen.</w:t>
      </w:r>
      <w:r w:rsidRPr="0005122D">
        <w:t xml:space="preserve"> </w:t>
      </w:r>
      <w:r w:rsidR="00D215A9">
        <w:t>Door d</w:t>
      </w:r>
      <w:r w:rsidRPr="0005122D">
        <w:t xml:space="preserve">e easy-click-functie </w:t>
      </w:r>
      <w:r w:rsidR="00D215A9">
        <w:t xml:space="preserve">is de basis -de kenmerkende rugweerpaal- </w:t>
      </w:r>
      <w:r w:rsidRPr="0005122D">
        <w:t>eenvoudig en snel</w:t>
      </w:r>
      <w:r w:rsidR="00D215A9">
        <w:t xml:space="preserve"> te (de)monteren </w:t>
      </w:r>
      <w:r w:rsidRPr="0005122D">
        <w:t>zonder gereedschap</w:t>
      </w:r>
      <w:r w:rsidR="00D215A9">
        <w:t>; de paal is bovendien direct beveiligd tegen uitlichting</w:t>
      </w:r>
      <w:r w:rsidRPr="0005122D">
        <w:t>.</w:t>
      </w:r>
    </w:p>
    <w:p w:rsidR="00D215A9" w:rsidRDefault="00D215A9" w:rsidP="00D215A9">
      <w:pPr>
        <w:pStyle w:val="Body"/>
      </w:pPr>
    </w:p>
    <w:p w:rsidR="00D215A9" w:rsidRDefault="00D215A9" w:rsidP="00D215A9">
      <w:pPr>
        <w:pStyle w:val="Body"/>
      </w:pPr>
      <w:r>
        <w:t>Ook de Staxo100 ondersteuningstoren kenmerkt zich door een zeer hoge arbeidsveiligheid . De toren is voorzien van voorlopende borstwering voor een veilige opbouw en demontage van de ondersteuningskaders bij staande montage. De voetwering zorgt daarnaast voor een veilige werkplek op de ondersteuning. Bovendien is de toren standaard uitgevoerd met een voorziening waarmee deze eenvoudig en veilig kan worden opgetrokken.</w:t>
      </w:r>
    </w:p>
    <w:p w:rsidR="00D215A9" w:rsidRDefault="00D215A9" w:rsidP="00D215A9">
      <w:pPr>
        <w:pStyle w:val="Body"/>
      </w:pPr>
    </w:p>
    <w:p w:rsidR="00FC3B92" w:rsidRDefault="00FC3B92" w:rsidP="00FC3B92">
      <w:pPr>
        <w:pStyle w:val="Body"/>
        <w:rPr>
          <w:u w:val="single"/>
        </w:rPr>
      </w:pPr>
      <w:r>
        <w:rPr>
          <w:rFonts w:hint="eastAsia"/>
          <w:u w:val="single"/>
        </w:rPr>
        <w:t>Over Doka</w:t>
      </w:r>
    </w:p>
    <w:p w:rsidR="00FC3B92" w:rsidRDefault="00FC3B92" w:rsidP="00FC3B92">
      <w:pPr>
        <w:pStyle w:val="Body"/>
      </w:pPr>
      <w:r>
        <w:rPr>
          <w:rFonts w:hint="eastAsia"/>
        </w:rPr>
        <w:t xml:space="preserve">Doka is één van 's werelds toonaangevende bedrijven voor de ontwikkeling, productie en distributie van bekistingstechnologie voor gebruik op alle terreinen van de bouwsector. Met meer dan 160 verkoop- en logistieke faciliteiten in meer dan 70 landen, heeft de Doka Groep een zeer efficiënte distributienetwerk dat ervoor zorgt dat materiaal en technische ondersteuning snel en professioneel kan worden geboden. De Doka Groep is een bedrijf van de Umdasch Groep en heeft wereldwijd meer dan 5.600 medewerkers. </w:t>
      </w:r>
    </w:p>
    <w:p w:rsidR="00FC3B92" w:rsidRDefault="00FC3B92" w:rsidP="00FC3B92">
      <w:pPr>
        <w:pStyle w:val="Body"/>
      </w:pPr>
      <w:r>
        <w:rPr>
          <w:rFonts w:hint="eastAsia"/>
        </w:rPr>
        <w:t>De Nederlandse dochteronderneming Doka Nederland is gevestigd in Oss.</w:t>
      </w:r>
    </w:p>
    <w:p w:rsidR="00FC3B92" w:rsidRDefault="00FC3B92" w:rsidP="00FC3B92">
      <w:pPr>
        <w:pStyle w:val="Body"/>
      </w:pPr>
    </w:p>
    <w:p w:rsidR="005407C4" w:rsidRDefault="005407C4" w:rsidP="00FC3B92">
      <w:pPr>
        <w:pStyle w:val="Body"/>
      </w:pPr>
    </w:p>
    <w:p w:rsidR="005407C4" w:rsidRDefault="005407C4" w:rsidP="00FC3B92">
      <w:pPr>
        <w:pStyle w:val="Body"/>
      </w:pPr>
    </w:p>
    <w:p w:rsidR="00FC3B92" w:rsidRPr="00FC3B92" w:rsidRDefault="00FC3B92" w:rsidP="00FC3B92">
      <w:pPr>
        <w:pStyle w:val="Body"/>
        <w:rPr>
          <w:b/>
        </w:rPr>
      </w:pPr>
      <w:r w:rsidRPr="00FC3B92">
        <w:rPr>
          <w:rFonts w:hint="eastAsia"/>
          <w:b/>
        </w:rPr>
        <w:t>Meer informatie</w:t>
      </w:r>
    </w:p>
    <w:p w:rsidR="00FC3B92" w:rsidRDefault="00FC3B92" w:rsidP="00FC3B92">
      <w:pPr>
        <w:pStyle w:val="Body"/>
      </w:pPr>
      <w:r>
        <w:rPr>
          <w:rFonts w:hint="eastAsia"/>
        </w:rPr>
        <w:t>Doka Nederland</w:t>
      </w:r>
    </w:p>
    <w:p w:rsidR="00FC3B92" w:rsidRDefault="00FC3B92" w:rsidP="00FC3B92">
      <w:pPr>
        <w:pStyle w:val="Body"/>
      </w:pPr>
      <w:r>
        <w:rPr>
          <w:rFonts w:hint="eastAsia"/>
        </w:rPr>
        <w:t>T.</w:t>
      </w:r>
      <w:r>
        <w:rPr>
          <w:rFonts w:hint="eastAsia"/>
        </w:rPr>
        <w:tab/>
        <w:t>0412 - 65 30 30</w:t>
      </w:r>
    </w:p>
    <w:p w:rsidR="00FC3B92" w:rsidRDefault="00FC3B92" w:rsidP="00FC3B92">
      <w:pPr>
        <w:pStyle w:val="Body"/>
      </w:pPr>
      <w:r>
        <w:rPr>
          <w:rFonts w:hint="eastAsia"/>
        </w:rPr>
        <w:t>E.</w:t>
      </w:r>
      <w:r>
        <w:rPr>
          <w:rFonts w:hint="eastAsia"/>
        </w:rPr>
        <w:tab/>
        <w:t>nederland@doka.com</w:t>
      </w:r>
    </w:p>
    <w:p w:rsidR="00FC3B92" w:rsidRDefault="00FC3B92" w:rsidP="00FC3B92">
      <w:pPr>
        <w:pStyle w:val="Body"/>
      </w:pPr>
      <w:r>
        <w:rPr>
          <w:rFonts w:hint="eastAsia"/>
        </w:rPr>
        <w:t>W.</w:t>
      </w:r>
      <w:r>
        <w:rPr>
          <w:rFonts w:hint="eastAsia"/>
        </w:rPr>
        <w:tab/>
        <w:t>www.doka-nederland.nl</w:t>
      </w:r>
    </w:p>
    <w:p w:rsidR="00FC3B92" w:rsidRDefault="00FC3B92" w:rsidP="00FC3B92">
      <w:pPr>
        <w:pStyle w:val="Body"/>
      </w:pPr>
    </w:p>
    <w:p w:rsidR="005407C4" w:rsidRDefault="005407C4" w:rsidP="00FC3B92">
      <w:pPr>
        <w:pStyle w:val="Body"/>
      </w:pPr>
    </w:p>
    <w:p w:rsidR="005407C4" w:rsidRDefault="005407C4" w:rsidP="00FC3B92">
      <w:pPr>
        <w:pStyle w:val="Body"/>
      </w:pPr>
      <w:bookmarkStart w:id="0" w:name="_GoBack"/>
      <w:bookmarkEnd w:id="0"/>
    </w:p>
    <w:p w:rsidR="005407C4" w:rsidRDefault="005407C4" w:rsidP="00FC3B92">
      <w:pPr>
        <w:pStyle w:val="Body"/>
      </w:pPr>
    </w:p>
    <w:p w:rsidR="00361BAE" w:rsidRDefault="00361BAE" w:rsidP="00FC3B92">
      <w:pPr>
        <w:pStyle w:val="Body"/>
      </w:pPr>
      <w:r>
        <w:t>Redactie bericht: M. Franke</w:t>
      </w:r>
    </w:p>
    <w:p w:rsidR="00361BAE" w:rsidRDefault="00361BAE" w:rsidP="00361BAE">
      <w:pPr>
        <w:pStyle w:val="Body"/>
        <w:jc w:val="right"/>
      </w:pPr>
      <w:r>
        <w:t>Leidschendam, 4 november 2015</w:t>
      </w:r>
    </w:p>
    <w:p w:rsidR="005407C4" w:rsidRDefault="005407C4" w:rsidP="003D16B7">
      <w:pPr>
        <w:pStyle w:val="Body"/>
        <w:rPr>
          <w:u w:val="single"/>
        </w:rPr>
      </w:pPr>
    </w:p>
    <w:p w:rsidR="005407C4" w:rsidRDefault="005407C4">
      <w:pPr>
        <w:rPr>
          <w:rFonts w:ascii="Arial Unicode MS" w:eastAsia="Arial Unicode MS" w:hAnsi="Arial Unicode MS" w:cs="Arial Unicode MS"/>
          <w:sz w:val="20"/>
          <w:szCs w:val="21"/>
          <w:u w:val="single"/>
        </w:rPr>
      </w:pPr>
      <w:r>
        <w:rPr>
          <w:u w:val="single"/>
        </w:rPr>
        <w:br w:type="page"/>
      </w:r>
    </w:p>
    <w:p w:rsidR="005407C4" w:rsidRDefault="005407C4" w:rsidP="003D16B7">
      <w:pPr>
        <w:pStyle w:val="Body"/>
        <w:rPr>
          <w:u w:val="single"/>
        </w:rPr>
      </w:pPr>
    </w:p>
    <w:p w:rsidR="005407C4" w:rsidRDefault="005407C4" w:rsidP="003D16B7">
      <w:pPr>
        <w:pStyle w:val="Body"/>
        <w:rPr>
          <w:u w:val="single"/>
        </w:rPr>
      </w:pPr>
    </w:p>
    <w:p w:rsidR="00FC3B92" w:rsidRDefault="00361BAE" w:rsidP="003D16B7">
      <w:pPr>
        <w:pStyle w:val="Body"/>
        <w:rPr>
          <w:u w:val="single"/>
        </w:rPr>
      </w:pPr>
      <w:r w:rsidRPr="00361BAE">
        <w:rPr>
          <w:u w:val="single"/>
        </w:rPr>
        <w:t>Foto</w:t>
      </w:r>
      <w:r>
        <w:rPr>
          <w:u w:val="single"/>
        </w:rPr>
        <w:t>’</w:t>
      </w:r>
      <w:r w:rsidRPr="00361BAE">
        <w:rPr>
          <w:u w:val="single"/>
        </w:rPr>
        <w:t>s</w:t>
      </w:r>
      <w:r w:rsidR="008D71DC">
        <w:rPr>
          <w:u w:val="single"/>
        </w:rPr>
        <w:t xml:space="preserve"> aqu</w:t>
      </w:r>
      <w:r>
        <w:rPr>
          <w:u w:val="single"/>
        </w:rPr>
        <w:t>aduct (boven) en onderdoorgang (onder)</w:t>
      </w:r>
    </w:p>
    <w:p w:rsidR="005407C4" w:rsidRDefault="005407C4" w:rsidP="003D16B7">
      <w:pPr>
        <w:pStyle w:val="Body"/>
        <w:rPr>
          <w:u w:val="single"/>
        </w:rPr>
      </w:pPr>
    </w:p>
    <w:p w:rsidR="00413A29" w:rsidRDefault="00413A29" w:rsidP="00413A29">
      <w:pPr>
        <w:pStyle w:val="Body"/>
        <w:rPr>
          <w:noProof/>
        </w:rPr>
      </w:pPr>
      <w:r>
        <w:rPr>
          <w:noProof/>
        </w:rPr>
        <w:drawing>
          <wp:inline distT="0" distB="0" distL="0" distR="0" wp14:anchorId="097B5FB6" wp14:editId="30A5CC94">
            <wp:extent cx="972077" cy="547734"/>
            <wp:effectExtent l="0" t="0" r="0" b="508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992699" cy="559354"/>
                    </a:xfrm>
                    <a:prstGeom prst="rect">
                      <a:avLst/>
                    </a:prstGeom>
                  </pic:spPr>
                </pic:pic>
              </a:graphicData>
            </a:graphic>
          </wp:inline>
        </w:drawing>
      </w:r>
      <w:r>
        <w:t xml:space="preserve"> </w:t>
      </w:r>
      <w:r>
        <w:rPr>
          <w:noProof/>
        </w:rPr>
        <w:drawing>
          <wp:inline distT="0" distB="0" distL="0" distR="0" wp14:anchorId="19E1A2C2" wp14:editId="73A88AED">
            <wp:extent cx="971848" cy="65184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28220" cy="689660"/>
                    </a:xfrm>
                    <a:prstGeom prst="rect">
                      <a:avLst/>
                    </a:prstGeom>
                  </pic:spPr>
                </pic:pic>
              </a:graphicData>
            </a:graphic>
          </wp:inline>
        </w:drawing>
      </w:r>
      <w:r>
        <w:t xml:space="preserve">  </w:t>
      </w:r>
      <w:r>
        <w:rPr>
          <w:noProof/>
        </w:rPr>
        <w:drawing>
          <wp:inline distT="0" distB="0" distL="0" distR="0" wp14:anchorId="4695EB23" wp14:editId="006A74B6">
            <wp:extent cx="989134" cy="647323"/>
            <wp:effectExtent l="0" t="0" r="1905" b="63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033110" cy="676102"/>
                    </a:xfrm>
                    <a:prstGeom prst="rect">
                      <a:avLst/>
                    </a:prstGeom>
                  </pic:spPr>
                </pic:pic>
              </a:graphicData>
            </a:graphic>
          </wp:inline>
        </w:drawing>
      </w:r>
      <w:r w:rsidR="00361BAE">
        <w:rPr>
          <w:noProof/>
        </w:rPr>
        <w:t xml:space="preserve"> </w:t>
      </w:r>
    </w:p>
    <w:p w:rsidR="005407C4" w:rsidRDefault="005407C4" w:rsidP="00413A29">
      <w:pPr>
        <w:pStyle w:val="Body"/>
      </w:pPr>
    </w:p>
    <w:p w:rsidR="005407C4" w:rsidRPr="005407C4" w:rsidRDefault="005407C4" w:rsidP="00413A29">
      <w:pPr>
        <w:pStyle w:val="Body"/>
        <w:rPr>
          <w:sz w:val="18"/>
        </w:rPr>
      </w:pPr>
      <w:r w:rsidRPr="005407C4">
        <w:rPr>
          <w:sz w:val="18"/>
        </w:rPr>
        <w:t xml:space="preserve">Voor het in het werk storten van de betonnen buitenwanden </w:t>
      </w:r>
      <w:r w:rsidRPr="005407C4">
        <w:rPr>
          <w:sz w:val="18"/>
        </w:rPr>
        <w:t xml:space="preserve">wordt </w:t>
      </w:r>
      <w:r w:rsidRPr="005407C4">
        <w:rPr>
          <w:sz w:val="18"/>
        </w:rPr>
        <w:t>het Framax bekistingssysteem van Doka</w:t>
      </w:r>
      <w:r w:rsidRPr="005407C4">
        <w:rPr>
          <w:sz w:val="18"/>
        </w:rPr>
        <w:t xml:space="preserve"> ingezet</w:t>
      </w:r>
      <w:r w:rsidRPr="005407C4">
        <w:rPr>
          <w:sz w:val="18"/>
        </w:rPr>
        <w:t>. Hiermee kan de volledige aquaducthoogte in het werk worden gestort.</w:t>
      </w:r>
    </w:p>
    <w:p w:rsidR="005407C4" w:rsidRDefault="005407C4" w:rsidP="00413A29">
      <w:pPr>
        <w:pStyle w:val="Body"/>
      </w:pPr>
    </w:p>
    <w:p w:rsidR="005407C4" w:rsidRDefault="005407C4" w:rsidP="00413A29">
      <w:pPr>
        <w:pStyle w:val="Body"/>
      </w:pPr>
      <w:r>
        <w:rPr>
          <w:noProof/>
        </w:rPr>
        <w:drawing>
          <wp:inline distT="0" distB="0" distL="0" distR="0" wp14:anchorId="3E95F7B9" wp14:editId="1A4D40A3">
            <wp:extent cx="606582" cy="922817"/>
            <wp:effectExtent l="0" t="0" r="3175"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4573" cy="980614"/>
                    </a:xfrm>
                    <a:prstGeom prst="rect">
                      <a:avLst/>
                    </a:prstGeom>
                  </pic:spPr>
                </pic:pic>
              </a:graphicData>
            </a:graphic>
          </wp:inline>
        </w:drawing>
      </w:r>
      <w:r>
        <w:rPr>
          <w:noProof/>
        </w:rPr>
        <w:t xml:space="preserve"> </w:t>
      </w:r>
      <w:r>
        <w:rPr>
          <w:noProof/>
        </w:rPr>
        <w:drawing>
          <wp:inline distT="0" distB="0" distL="0" distR="0" wp14:anchorId="65DC68BA" wp14:editId="53AA87DA">
            <wp:extent cx="591479" cy="890761"/>
            <wp:effectExtent l="0" t="0" r="0" b="508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29622" cy="948205"/>
                    </a:xfrm>
                    <a:prstGeom prst="rect">
                      <a:avLst/>
                    </a:prstGeom>
                  </pic:spPr>
                </pic:pic>
              </a:graphicData>
            </a:graphic>
          </wp:inline>
        </w:drawing>
      </w:r>
    </w:p>
    <w:p w:rsidR="005407C4" w:rsidRDefault="005407C4" w:rsidP="00413A29">
      <w:pPr>
        <w:pStyle w:val="Body"/>
      </w:pPr>
    </w:p>
    <w:p w:rsidR="00361BAE" w:rsidRPr="005407C4" w:rsidRDefault="005407C4" w:rsidP="00413A29">
      <w:pPr>
        <w:pStyle w:val="Body"/>
        <w:rPr>
          <w:noProof/>
          <w:sz w:val="18"/>
        </w:rPr>
      </w:pPr>
      <w:r w:rsidRPr="005407C4">
        <w:rPr>
          <w:sz w:val="18"/>
        </w:rPr>
        <w:t>Met het oog op het gewenste schoonwerk van de tussenwand wordt deze gerealiseerd met Doka’s Top50-bekistingssysteem.</w:t>
      </w:r>
      <w:r w:rsidRPr="005407C4">
        <w:t xml:space="preserve"> </w:t>
      </w:r>
      <w:r w:rsidRPr="005407C4">
        <w:rPr>
          <w:sz w:val="18"/>
        </w:rPr>
        <w:t>H</w:t>
      </w:r>
      <w:r>
        <w:rPr>
          <w:sz w:val="18"/>
        </w:rPr>
        <w:t xml:space="preserve">et dek werd gerealiseerd met speciale, </w:t>
      </w:r>
      <w:r w:rsidRPr="005407C4">
        <w:rPr>
          <w:sz w:val="18"/>
        </w:rPr>
        <w:t>door Doka getimmerde prefab-bekistingsdelen gecombineerd met in het werk gemonteerde ondersteuningstorens van het type Staxo100</w:t>
      </w:r>
      <w:r>
        <w:rPr>
          <w:sz w:val="18"/>
        </w:rPr>
        <w:t>.</w:t>
      </w:r>
    </w:p>
    <w:p w:rsidR="005407C4" w:rsidRDefault="005407C4" w:rsidP="00413A29">
      <w:pPr>
        <w:pStyle w:val="Body"/>
        <w:rPr>
          <w:noProof/>
        </w:rPr>
      </w:pPr>
    </w:p>
    <w:p w:rsidR="00361BAE" w:rsidRDefault="00361BAE" w:rsidP="00413A29">
      <w:pPr>
        <w:pStyle w:val="Body"/>
      </w:pPr>
      <w:r>
        <w:rPr>
          <w:noProof/>
        </w:rPr>
        <w:drawing>
          <wp:inline distT="0" distB="0" distL="0" distR="0" wp14:anchorId="56783038" wp14:editId="26A88643">
            <wp:extent cx="937033" cy="632284"/>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82769" cy="663145"/>
                    </a:xfrm>
                    <a:prstGeom prst="rect">
                      <a:avLst/>
                    </a:prstGeom>
                  </pic:spPr>
                </pic:pic>
              </a:graphicData>
            </a:graphic>
          </wp:inline>
        </w:drawing>
      </w:r>
      <w:r>
        <w:t xml:space="preserve"> </w:t>
      </w:r>
      <w:r>
        <w:rPr>
          <w:noProof/>
        </w:rPr>
        <w:drawing>
          <wp:inline distT="0" distB="0" distL="0" distR="0" wp14:anchorId="13607E64" wp14:editId="1049A8B6">
            <wp:extent cx="584011" cy="876889"/>
            <wp:effectExtent l="0" t="0" r="698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46848" cy="971238"/>
                    </a:xfrm>
                    <a:prstGeom prst="rect">
                      <a:avLst/>
                    </a:prstGeom>
                  </pic:spPr>
                </pic:pic>
              </a:graphicData>
            </a:graphic>
          </wp:inline>
        </w:drawing>
      </w:r>
    </w:p>
    <w:p w:rsidR="005407C4" w:rsidRDefault="005407C4" w:rsidP="00413A29">
      <w:pPr>
        <w:pStyle w:val="Body"/>
        <w:rPr>
          <w:sz w:val="18"/>
        </w:rPr>
      </w:pPr>
    </w:p>
    <w:p w:rsidR="005407C4" w:rsidRPr="005407C4" w:rsidRDefault="005407C4" w:rsidP="00413A29">
      <w:pPr>
        <w:pStyle w:val="Body"/>
        <w:rPr>
          <w:sz w:val="18"/>
        </w:rPr>
      </w:pPr>
      <w:r w:rsidRPr="005407C4">
        <w:rPr>
          <w:sz w:val="18"/>
        </w:rPr>
        <w:t xml:space="preserve">Voor de onderdoorgangen ontwikkelde </w:t>
      </w:r>
      <w:r w:rsidRPr="005407C4">
        <w:rPr>
          <w:sz w:val="18"/>
        </w:rPr>
        <w:t xml:space="preserve">Doka </w:t>
      </w:r>
      <w:r w:rsidRPr="005407C4">
        <w:rPr>
          <w:sz w:val="18"/>
        </w:rPr>
        <w:t xml:space="preserve">een herbruikbare </w:t>
      </w:r>
      <w:r w:rsidRPr="005407C4">
        <w:rPr>
          <w:sz w:val="18"/>
        </w:rPr>
        <w:t xml:space="preserve">bekistingsoplossing </w:t>
      </w:r>
      <w:r w:rsidRPr="005407C4">
        <w:rPr>
          <w:sz w:val="18"/>
        </w:rPr>
        <w:t>op basis van het Top50-systeem.</w:t>
      </w:r>
    </w:p>
    <w:sectPr w:rsidR="005407C4" w:rsidRPr="005407C4" w:rsidSect="00E65049">
      <w:footerReference w:type="default" r:id="rId18"/>
      <w:pgSz w:w="11906" w:h="16838"/>
      <w:pgMar w:top="851" w:right="1418" w:bottom="851" w:left="1985"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C6BA2" w:rsidRDefault="006C6BA2" w:rsidP="001B1A4C">
      <w:r>
        <w:separator/>
      </w:r>
    </w:p>
  </w:endnote>
  <w:endnote w:type="continuationSeparator" w:id="0">
    <w:p w:rsidR="006C6BA2" w:rsidRDefault="006C6BA2" w:rsidP="001B1A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676" w:rsidRDefault="00553FFB" w:rsidP="001B1A4C">
    <w:pPr>
      <w:pStyle w:val="Voettekst"/>
      <w:jc w:val="right"/>
      <w:rPr>
        <w:rFonts w:ascii="Arial Unicode MS" w:eastAsia="Arial Unicode MS" w:hAnsi="Arial Unicode MS" w:cs="Arial Unicode MS"/>
        <w:sz w:val="18"/>
        <w:szCs w:val="18"/>
      </w:rPr>
    </w:pPr>
    <w:r>
      <w:rPr>
        <w:noProof/>
      </w:rPr>
      <w:drawing>
        <wp:anchor distT="0" distB="0" distL="114300" distR="114300" simplePos="0" relativeHeight="251658240" behindDoc="1" locked="0" layoutInCell="1" allowOverlap="1">
          <wp:simplePos x="0" y="0"/>
          <wp:positionH relativeFrom="column">
            <wp:posOffset>4182110</wp:posOffset>
          </wp:positionH>
          <wp:positionV relativeFrom="paragraph">
            <wp:posOffset>168275</wp:posOffset>
          </wp:positionV>
          <wp:extent cx="1710055" cy="284480"/>
          <wp:effectExtent l="0" t="0" r="4445" b="1270"/>
          <wp:wrapTight wrapText="bothSides">
            <wp:wrapPolygon edited="0">
              <wp:start x="0" y="0"/>
              <wp:lineTo x="0" y="20250"/>
              <wp:lineTo x="21416" y="20250"/>
              <wp:lineTo x="21416" y="0"/>
              <wp:lineTo x="0" y="0"/>
            </wp:wrapPolygon>
          </wp:wrapTight>
          <wp:docPr id="2" name="Afbeelding 4" descr="beta laatste f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descr="beta laatste fase"/>
                  <pic:cNvPicPr>
                    <a:picLocks noChangeAspect="1" noChangeArrowheads="1"/>
                  </pic:cNvPicPr>
                </pic:nvPicPr>
                <pic:blipFill>
                  <a:blip r:embed="rId1">
                    <a:extLst>
                      <a:ext uri="{28A0092B-C50C-407E-A947-70E740481C1C}">
                        <a14:useLocalDpi xmlns:a14="http://schemas.microsoft.com/office/drawing/2010/main" val="0"/>
                      </a:ext>
                    </a:extLst>
                  </a:blip>
                  <a:srcRect b="60941"/>
                  <a:stretch>
                    <a:fillRect/>
                  </a:stretch>
                </pic:blipFill>
                <pic:spPr bwMode="auto">
                  <a:xfrm>
                    <a:off x="0" y="0"/>
                    <a:ext cx="1710055" cy="284480"/>
                  </a:xfrm>
                  <a:prstGeom prst="rect">
                    <a:avLst/>
                  </a:prstGeom>
                  <a:noFill/>
                </pic:spPr>
              </pic:pic>
            </a:graphicData>
          </a:graphic>
        </wp:anchor>
      </w:drawing>
    </w:r>
  </w:p>
  <w:p w:rsidR="00D67676" w:rsidRDefault="00D67676" w:rsidP="001B1A4C">
    <w:pPr>
      <w:pStyle w:val="Voettekst"/>
      <w:jc w:val="right"/>
      <w:rPr>
        <w:rFonts w:ascii="Arial Unicode MS" w:eastAsia="Arial Unicode MS" w:hAnsi="Arial Unicode MS" w:cs="Arial Unicode MS"/>
        <w:sz w:val="18"/>
        <w:szCs w:val="18"/>
      </w:rPr>
    </w:pPr>
  </w:p>
  <w:p w:rsidR="00D67676" w:rsidRPr="001B1A4C" w:rsidRDefault="00D67676" w:rsidP="001B1A4C">
    <w:pPr>
      <w:pStyle w:val="Voettekst"/>
      <w:spacing w:before="160"/>
      <w:jc w:val="right"/>
      <w:rPr>
        <w:rFonts w:ascii="Arial Unicode MS" w:eastAsia="Arial Unicode MS" w:hAnsi="Arial Unicode MS" w:cs="Arial Unicode MS"/>
        <w:bCs/>
        <w:sz w:val="18"/>
        <w:szCs w:val="18"/>
      </w:rPr>
    </w:pPr>
    <w:r w:rsidRPr="00B64A05">
      <w:rPr>
        <w:rFonts w:ascii="Arial Unicode MS" w:eastAsia="Arial Unicode MS" w:hAnsi="Arial Unicode MS" w:cs="Arial Unicode MS"/>
        <w:sz w:val="18"/>
        <w:szCs w:val="18"/>
      </w:rPr>
      <w:t xml:space="preserve">Pagina </w:t>
    </w:r>
    <w:r w:rsidR="005B63B5" w:rsidRPr="00B64A05">
      <w:rPr>
        <w:rFonts w:ascii="Arial Unicode MS" w:eastAsia="Arial Unicode MS" w:hAnsi="Arial Unicode MS" w:cs="Arial Unicode MS"/>
        <w:bCs/>
        <w:sz w:val="18"/>
        <w:szCs w:val="18"/>
      </w:rPr>
      <w:fldChar w:fldCharType="begin"/>
    </w:r>
    <w:r w:rsidRPr="00B64A05">
      <w:rPr>
        <w:rFonts w:ascii="Arial Unicode MS" w:eastAsia="Arial Unicode MS" w:hAnsi="Arial Unicode MS" w:cs="Arial Unicode MS"/>
        <w:bCs/>
        <w:sz w:val="18"/>
        <w:szCs w:val="18"/>
      </w:rPr>
      <w:instrText>PAGE</w:instrText>
    </w:r>
    <w:r w:rsidR="005B63B5" w:rsidRPr="00B64A05">
      <w:rPr>
        <w:rFonts w:ascii="Arial Unicode MS" w:eastAsia="Arial Unicode MS" w:hAnsi="Arial Unicode MS" w:cs="Arial Unicode MS"/>
        <w:bCs/>
        <w:sz w:val="18"/>
        <w:szCs w:val="18"/>
      </w:rPr>
      <w:fldChar w:fldCharType="separate"/>
    </w:r>
    <w:r w:rsidR="005407C4">
      <w:rPr>
        <w:rFonts w:ascii="Arial Unicode MS" w:eastAsia="Arial Unicode MS" w:hAnsi="Arial Unicode MS" w:cs="Arial Unicode MS"/>
        <w:bCs/>
        <w:noProof/>
        <w:sz w:val="18"/>
        <w:szCs w:val="18"/>
      </w:rPr>
      <w:t>4</w:t>
    </w:r>
    <w:r w:rsidR="005B63B5" w:rsidRPr="00B64A05">
      <w:rPr>
        <w:rFonts w:ascii="Arial Unicode MS" w:eastAsia="Arial Unicode MS" w:hAnsi="Arial Unicode MS" w:cs="Arial Unicode MS"/>
        <w:bCs/>
        <w:sz w:val="18"/>
        <w:szCs w:val="18"/>
      </w:rPr>
      <w:fldChar w:fldCharType="end"/>
    </w:r>
    <w:r w:rsidRPr="00B64A05">
      <w:rPr>
        <w:rFonts w:ascii="Arial Unicode MS" w:eastAsia="Arial Unicode MS" w:hAnsi="Arial Unicode MS" w:cs="Arial Unicode MS"/>
        <w:sz w:val="18"/>
        <w:szCs w:val="18"/>
      </w:rPr>
      <w:t xml:space="preserve"> van </w:t>
    </w:r>
    <w:r w:rsidR="005B63B5" w:rsidRPr="00B64A05">
      <w:rPr>
        <w:rFonts w:ascii="Arial Unicode MS" w:eastAsia="Arial Unicode MS" w:hAnsi="Arial Unicode MS" w:cs="Arial Unicode MS"/>
        <w:bCs/>
        <w:sz w:val="18"/>
        <w:szCs w:val="18"/>
      </w:rPr>
      <w:fldChar w:fldCharType="begin"/>
    </w:r>
    <w:r w:rsidRPr="00B64A05">
      <w:rPr>
        <w:rFonts w:ascii="Arial Unicode MS" w:eastAsia="Arial Unicode MS" w:hAnsi="Arial Unicode MS" w:cs="Arial Unicode MS"/>
        <w:bCs/>
        <w:sz w:val="18"/>
        <w:szCs w:val="18"/>
      </w:rPr>
      <w:instrText>NUMPAGES</w:instrText>
    </w:r>
    <w:r w:rsidR="005B63B5" w:rsidRPr="00B64A05">
      <w:rPr>
        <w:rFonts w:ascii="Arial Unicode MS" w:eastAsia="Arial Unicode MS" w:hAnsi="Arial Unicode MS" w:cs="Arial Unicode MS"/>
        <w:bCs/>
        <w:sz w:val="18"/>
        <w:szCs w:val="18"/>
      </w:rPr>
      <w:fldChar w:fldCharType="separate"/>
    </w:r>
    <w:r w:rsidR="005407C4">
      <w:rPr>
        <w:rFonts w:ascii="Arial Unicode MS" w:eastAsia="Arial Unicode MS" w:hAnsi="Arial Unicode MS" w:cs="Arial Unicode MS"/>
        <w:bCs/>
        <w:noProof/>
        <w:sz w:val="18"/>
        <w:szCs w:val="18"/>
      </w:rPr>
      <w:t>4</w:t>
    </w:r>
    <w:r w:rsidR="005B63B5" w:rsidRPr="00B64A05">
      <w:rPr>
        <w:rFonts w:ascii="Arial Unicode MS" w:eastAsia="Arial Unicode MS" w:hAnsi="Arial Unicode MS" w:cs="Arial Unicode MS"/>
        <w:bCs/>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C6BA2" w:rsidRDefault="006C6BA2" w:rsidP="001B1A4C">
      <w:r>
        <w:separator/>
      </w:r>
    </w:p>
  </w:footnote>
  <w:footnote w:type="continuationSeparator" w:id="0">
    <w:p w:rsidR="006C6BA2" w:rsidRDefault="006C6BA2" w:rsidP="001B1A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66FC8"/>
    <w:multiLevelType w:val="hybridMultilevel"/>
    <w:tmpl w:val="1F52F86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3323866"/>
    <w:multiLevelType w:val="hybridMultilevel"/>
    <w:tmpl w:val="AC862A7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03045D9"/>
    <w:multiLevelType w:val="hybridMultilevel"/>
    <w:tmpl w:val="A41EC41E"/>
    <w:lvl w:ilvl="0" w:tplc="04130001">
      <w:start w:val="1"/>
      <w:numFmt w:val="bullet"/>
      <w:lvlText w:val=""/>
      <w:lvlJc w:val="left"/>
      <w:pPr>
        <w:tabs>
          <w:tab w:val="num" w:pos="720"/>
        </w:tabs>
        <w:ind w:left="720" w:hanging="360"/>
      </w:pPr>
      <w:rPr>
        <w:rFonts w:ascii="Symbol" w:hAnsi="Symbol" w:hint="default"/>
      </w:rPr>
    </w:lvl>
    <w:lvl w:ilvl="1" w:tplc="04130003">
      <w:start w:val="1"/>
      <w:numFmt w:val="bullet"/>
      <w:lvlText w:val="o"/>
      <w:lvlJc w:val="left"/>
      <w:pPr>
        <w:tabs>
          <w:tab w:val="num" w:pos="1440"/>
        </w:tabs>
        <w:ind w:left="1440" w:hanging="360"/>
      </w:pPr>
      <w:rPr>
        <w:rFonts w:ascii="Courier New" w:hAnsi="Courier New" w:hint="default"/>
      </w:rPr>
    </w:lvl>
    <w:lvl w:ilvl="2" w:tplc="04130005">
      <w:start w:val="1"/>
      <w:numFmt w:val="bullet"/>
      <w:lvlText w:val=""/>
      <w:lvlJc w:val="left"/>
      <w:pPr>
        <w:tabs>
          <w:tab w:val="num" w:pos="2160"/>
        </w:tabs>
        <w:ind w:left="2160" w:hanging="360"/>
      </w:pPr>
      <w:rPr>
        <w:rFonts w:ascii="Wingdings" w:hAnsi="Wingdings" w:hint="default"/>
      </w:rPr>
    </w:lvl>
    <w:lvl w:ilvl="3" w:tplc="04130001">
      <w:start w:val="1"/>
      <w:numFmt w:val="bullet"/>
      <w:lvlText w:val=""/>
      <w:lvlJc w:val="left"/>
      <w:pPr>
        <w:tabs>
          <w:tab w:val="num" w:pos="2880"/>
        </w:tabs>
        <w:ind w:left="2880" w:hanging="360"/>
      </w:pPr>
      <w:rPr>
        <w:rFonts w:ascii="Symbol" w:hAnsi="Symbol" w:hint="default"/>
      </w:rPr>
    </w:lvl>
    <w:lvl w:ilvl="4" w:tplc="04130003">
      <w:start w:val="1"/>
      <w:numFmt w:val="bullet"/>
      <w:lvlText w:val="o"/>
      <w:lvlJc w:val="left"/>
      <w:pPr>
        <w:tabs>
          <w:tab w:val="num" w:pos="3600"/>
        </w:tabs>
        <w:ind w:left="3600" w:hanging="360"/>
      </w:pPr>
      <w:rPr>
        <w:rFonts w:ascii="Courier New" w:hAnsi="Courier New" w:hint="default"/>
      </w:rPr>
    </w:lvl>
    <w:lvl w:ilvl="5" w:tplc="04130005">
      <w:start w:val="1"/>
      <w:numFmt w:val="bullet"/>
      <w:lvlText w:val=""/>
      <w:lvlJc w:val="left"/>
      <w:pPr>
        <w:tabs>
          <w:tab w:val="num" w:pos="4320"/>
        </w:tabs>
        <w:ind w:left="4320" w:hanging="360"/>
      </w:pPr>
      <w:rPr>
        <w:rFonts w:ascii="Wingdings" w:hAnsi="Wingdings" w:hint="default"/>
      </w:rPr>
    </w:lvl>
    <w:lvl w:ilvl="6" w:tplc="04130001">
      <w:start w:val="1"/>
      <w:numFmt w:val="bullet"/>
      <w:lvlText w:val=""/>
      <w:lvlJc w:val="left"/>
      <w:pPr>
        <w:tabs>
          <w:tab w:val="num" w:pos="5040"/>
        </w:tabs>
        <w:ind w:left="5040" w:hanging="360"/>
      </w:pPr>
      <w:rPr>
        <w:rFonts w:ascii="Symbol" w:hAnsi="Symbol" w:hint="default"/>
      </w:rPr>
    </w:lvl>
    <w:lvl w:ilvl="7" w:tplc="04130003">
      <w:start w:val="1"/>
      <w:numFmt w:val="bullet"/>
      <w:lvlText w:val="o"/>
      <w:lvlJc w:val="left"/>
      <w:pPr>
        <w:tabs>
          <w:tab w:val="num" w:pos="5760"/>
        </w:tabs>
        <w:ind w:left="5760" w:hanging="360"/>
      </w:pPr>
      <w:rPr>
        <w:rFonts w:ascii="Courier New" w:hAnsi="Courier New" w:hint="default"/>
      </w:rPr>
    </w:lvl>
    <w:lvl w:ilvl="8" w:tplc="0413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5C5186"/>
    <w:multiLevelType w:val="hybridMultilevel"/>
    <w:tmpl w:val="754A1252"/>
    <w:lvl w:ilvl="0" w:tplc="04130005">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4C0C3AC0"/>
    <w:multiLevelType w:val="hybridMultilevel"/>
    <w:tmpl w:val="44C816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FB104E0"/>
    <w:multiLevelType w:val="hybridMultilevel"/>
    <w:tmpl w:val="86E6C7D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A1B7F92"/>
    <w:multiLevelType w:val="hybridMultilevel"/>
    <w:tmpl w:val="B0703F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EFC0DA9"/>
    <w:multiLevelType w:val="hybridMultilevel"/>
    <w:tmpl w:val="14E6FE52"/>
    <w:lvl w:ilvl="0" w:tplc="04130005">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2"/>
  </w:num>
  <w:num w:numId="3">
    <w:abstractNumId w:val="4"/>
  </w:num>
  <w:num w:numId="4">
    <w:abstractNumId w:val="6"/>
  </w:num>
  <w:num w:numId="5">
    <w:abstractNumId w:val="5"/>
  </w:num>
  <w:num w:numId="6">
    <w:abstractNumId w:val="7"/>
  </w:num>
  <w:num w:numId="7">
    <w:abstractNumId w:val="1"/>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3158"/>
    <w:rsid w:val="0005122D"/>
    <w:rsid w:val="00064E6C"/>
    <w:rsid w:val="00071B75"/>
    <w:rsid w:val="00077618"/>
    <w:rsid w:val="00087751"/>
    <w:rsid w:val="00096125"/>
    <w:rsid w:val="000A1B13"/>
    <w:rsid w:val="000A584B"/>
    <w:rsid w:val="000C3F9C"/>
    <w:rsid w:val="00113F51"/>
    <w:rsid w:val="00114983"/>
    <w:rsid w:val="00126803"/>
    <w:rsid w:val="00171F35"/>
    <w:rsid w:val="00187E83"/>
    <w:rsid w:val="001B0DA4"/>
    <w:rsid w:val="001B1A4C"/>
    <w:rsid w:val="00206D47"/>
    <w:rsid w:val="0021190B"/>
    <w:rsid w:val="00263581"/>
    <w:rsid w:val="0029245B"/>
    <w:rsid w:val="002D6237"/>
    <w:rsid w:val="00325699"/>
    <w:rsid w:val="003420A0"/>
    <w:rsid w:val="00361BAE"/>
    <w:rsid w:val="00363D5A"/>
    <w:rsid w:val="00364529"/>
    <w:rsid w:val="00393E67"/>
    <w:rsid w:val="003B106F"/>
    <w:rsid w:val="003D16B7"/>
    <w:rsid w:val="003F7F7D"/>
    <w:rsid w:val="00413A29"/>
    <w:rsid w:val="004808EE"/>
    <w:rsid w:val="004A4ED7"/>
    <w:rsid w:val="004F54B5"/>
    <w:rsid w:val="00500A3C"/>
    <w:rsid w:val="0052799F"/>
    <w:rsid w:val="005407C4"/>
    <w:rsid w:val="00553FFB"/>
    <w:rsid w:val="00575A2D"/>
    <w:rsid w:val="005B63B5"/>
    <w:rsid w:val="005D0DA7"/>
    <w:rsid w:val="005F4EE5"/>
    <w:rsid w:val="00613987"/>
    <w:rsid w:val="006315B6"/>
    <w:rsid w:val="00655968"/>
    <w:rsid w:val="006576EA"/>
    <w:rsid w:val="006740CD"/>
    <w:rsid w:val="00682205"/>
    <w:rsid w:val="006938D6"/>
    <w:rsid w:val="006A0104"/>
    <w:rsid w:val="006B2DDD"/>
    <w:rsid w:val="006C6BA2"/>
    <w:rsid w:val="006D4119"/>
    <w:rsid w:val="006D656D"/>
    <w:rsid w:val="006F5696"/>
    <w:rsid w:val="00711364"/>
    <w:rsid w:val="00723C40"/>
    <w:rsid w:val="00757822"/>
    <w:rsid w:val="00773ECA"/>
    <w:rsid w:val="0077433A"/>
    <w:rsid w:val="00776AF6"/>
    <w:rsid w:val="00781D4E"/>
    <w:rsid w:val="007A7A48"/>
    <w:rsid w:val="007C3158"/>
    <w:rsid w:val="008316AF"/>
    <w:rsid w:val="00855EC5"/>
    <w:rsid w:val="00857299"/>
    <w:rsid w:val="00872F7B"/>
    <w:rsid w:val="00883252"/>
    <w:rsid w:val="00894DF2"/>
    <w:rsid w:val="008D561B"/>
    <w:rsid w:val="008D6DA8"/>
    <w:rsid w:val="008D71DC"/>
    <w:rsid w:val="008F5C6B"/>
    <w:rsid w:val="009240DF"/>
    <w:rsid w:val="00927124"/>
    <w:rsid w:val="00967C83"/>
    <w:rsid w:val="009978C9"/>
    <w:rsid w:val="009A41B8"/>
    <w:rsid w:val="009D1E23"/>
    <w:rsid w:val="00A4223E"/>
    <w:rsid w:val="00A43F3B"/>
    <w:rsid w:val="00A530BE"/>
    <w:rsid w:val="00A66C4D"/>
    <w:rsid w:val="00A70BE0"/>
    <w:rsid w:val="00A84823"/>
    <w:rsid w:val="00A9645C"/>
    <w:rsid w:val="00AF5D17"/>
    <w:rsid w:val="00B24E3E"/>
    <w:rsid w:val="00B33F82"/>
    <w:rsid w:val="00B35D2D"/>
    <w:rsid w:val="00B64A05"/>
    <w:rsid w:val="00BB0C2D"/>
    <w:rsid w:val="00BB740F"/>
    <w:rsid w:val="00BE7F51"/>
    <w:rsid w:val="00BF5CF3"/>
    <w:rsid w:val="00C25F08"/>
    <w:rsid w:val="00C75C53"/>
    <w:rsid w:val="00C9465B"/>
    <w:rsid w:val="00CB395C"/>
    <w:rsid w:val="00CE01A4"/>
    <w:rsid w:val="00CF378D"/>
    <w:rsid w:val="00D215A9"/>
    <w:rsid w:val="00D43445"/>
    <w:rsid w:val="00D67676"/>
    <w:rsid w:val="00D67FBC"/>
    <w:rsid w:val="00D8019D"/>
    <w:rsid w:val="00DA53DB"/>
    <w:rsid w:val="00DD0AA5"/>
    <w:rsid w:val="00DE0FE7"/>
    <w:rsid w:val="00DF4416"/>
    <w:rsid w:val="00DF5052"/>
    <w:rsid w:val="00DF7E1B"/>
    <w:rsid w:val="00E20697"/>
    <w:rsid w:val="00E24A18"/>
    <w:rsid w:val="00E65049"/>
    <w:rsid w:val="00EA5EE6"/>
    <w:rsid w:val="00EB10DC"/>
    <w:rsid w:val="00EC54D9"/>
    <w:rsid w:val="00EE38C8"/>
    <w:rsid w:val="00EE5B2B"/>
    <w:rsid w:val="00EF2687"/>
    <w:rsid w:val="00F335C0"/>
    <w:rsid w:val="00F50159"/>
    <w:rsid w:val="00FA0675"/>
    <w:rsid w:val="00FA5764"/>
    <w:rsid w:val="00FC3B92"/>
    <w:rsid w:val="00FE6B4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E198A5EF-1EDA-4E2D-892F-5F6F1E88B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lsdException w:name="heading 1" w:locked="1" w:uiPriority="0"/>
    <w:lsdException w:name="heading 2" w:locked="1" w:uiPriority="0"/>
    <w:lsdException w:name="heading 3" w:locked="1" w:uiPriority="0"/>
    <w:lsdException w:name="heading 4" w:locked="1" w:semiHidden="1" w:uiPriority="0" w:unhideWhenUsed="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rsid w:val="006F5696"/>
    <w:rPr>
      <w:sz w:val="24"/>
      <w:szCs w:val="24"/>
    </w:rPr>
  </w:style>
  <w:style w:type="paragraph" w:styleId="Kop1">
    <w:name w:val="heading 1"/>
    <w:basedOn w:val="Standaard"/>
    <w:next w:val="Standaard"/>
    <w:link w:val="Kop1Char"/>
    <w:uiPriority w:val="99"/>
    <w:rsid w:val="001B1A4C"/>
    <w:pPr>
      <w:keepNext/>
      <w:outlineLvl w:val="0"/>
    </w:pPr>
    <w:rPr>
      <w:b/>
      <w:bCs/>
      <w:sz w:val="28"/>
    </w:rPr>
  </w:style>
  <w:style w:type="paragraph" w:styleId="Kop2">
    <w:name w:val="heading 2"/>
    <w:basedOn w:val="Standaard"/>
    <w:next w:val="Standaard"/>
    <w:link w:val="Kop2Char"/>
    <w:uiPriority w:val="99"/>
    <w:rsid w:val="001B1A4C"/>
    <w:pPr>
      <w:keepNext/>
      <w:outlineLvl w:val="1"/>
    </w:pPr>
    <w:rPr>
      <w:b/>
      <w:bCs/>
    </w:rPr>
  </w:style>
  <w:style w:type="paragraph" w:styleId="Kop3">
    <w:name w:val="heading 3"/>
    <w:basedOn w:val="Standaard"/>
    <w:next w:val="Standaard"/>
    <w:link w:val="Kop3Char"/>
    <w:uiPriority w:val="99"/>
    <w:rsid w:val="001B1A4C"/>
    <w:pPr>
      <w:keepNext/>
      <w:outlineLvl w:val="2"/>
    </w:pPr>
    <w:rPr>
      <w:b/>
      <w:bCs/>
      <w:sz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9"/>
    <w:locked/>
    <w:rsid w:val="001B1A4C"/>
    <w:rPr>
      <w:rFonts w:cs="Times New Roman"/>
      <w:b/>
      <w:bCs/>
      <w:sz w:val="24"/>
      <w:szCs w:val="24"/>
    </w:rPr>
  </w:style>
  <w:style w:type="character" w:customStyle="1" w:styleId="Kop2Char">
    <w:name w:val="Kop 2 Char"/>
    <w:basedOn w:val="Standaardalinea-lettertype"/>
    <w:link w:val="Kop2"/>
    <w:uiPriority w:val="99"/>
    <w:semiHidden/>
    <w:locked/>
    <w:rsid w:val="001B1A4C"/>
    <w:rPr>
      <w:rFonts w:cs="Times New Roman"/>
      <w:b/>
      <w:bCs/>
      <w:sz w:val="24"/>
      <w:szCs w:val="24"/>
    </w:rPr>
  </w:style>
  <w:style w:type="character" w:customStyle="1" w:styleId="Kop3Char">
    <w:name w:val="Kop 3 Char"/>
    <w:basedOn w:val="Standaardalinea-lettertype"/>
    <w:link w:val="Kop3"/>
    <w:uiPriority w:val="99"/>
    <w:semiHidden/>
    <w:locked/>
    <w:rsid w:val="001B1A4C"/>
    <w:rPr>
      <w:rFonts w:cs="Times New Roman"/>
      <w:b/>
      <w:bCs/>
      <w:sz w:val="24"/>
      <w:szCs w:val="24"/>
    </w:rPr>
  </w:style>
  <w:style w:type="paragraph" w:customStyle="1" w:styleId="Body">
    <w:name w:val="Body"/>
    <w:basedOn w:val="Standaard"/>
    <w:qFormat/>
    <w:rsid w:val="00A9645C"/>
    <w:pPr>
      <w:spacing w:line="216" w:lineRule="auto"/>
      <w:jc w:val="both"/>
    </w:pPr>
    <w:rPr>
      <w:rFonts w:ascii="Arial Unicode MS" w:eastAsia="Arial Unicode MS" w:hAnsi="Arial Unicode MS" w:cs="Arial Unicode MS"/>
      <w:sz w:val="20"/>
      <w:szCs w:val="21"/>
    </w:rPr>
  </w:style>
  <w:style w:type="paragraph" w:customStyle="1" w:styleId="Tussenkop">
    <w:name w:val="Tussenkop"/>
    <w:basedOn w:val="Body"/>
    <w:next w:val="Body"/>
    <w:qFormat/>
    <w:rsid w:val="00126803"/>
    <w:pPr>
      <w:spacing w:before="60" w:after="60"/>
    </w:pPr>
    <w:rPr>
      <w:b/>
    </w:rPr>
  </w:style>
  <w:style w:type="paragraph" w:customStyle="1" w:styleId="Kop">
    <w:name w:val="Kop"/>
    <w:basedOn w:val="Body"/>
    <w:next w:val="Body"/>
    <w:uiPriority w:val="99"/>
    <w:qFormat/>
    <w:rsid w:val="00A9645C"/>
    <w:pPr>
      <w:spacing w:before="120" w:after="120"/>
    </w:pPr>
    <w:rPr>
      <w:b/>
      <w:sz w:val="24"/>
      <w:szCs w:val="28"/>
    </w:rPr>
  </w:style>
  <w:style w:type="paragraph" w:styleId="Ballontekst">
    <w:name w:val="Balloon Text"/>
    <w:basedOn w:val="Standaard"/>
    <w:link w:val="BallontekstChar"/>
    <w:uiPriority w:val="99"/>
    <w:semiHidden/>
    <w:rsid w:val="001B1A4C"/>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1B1A4C"/>
    <w:rPr>
      <w:rFonts w:ascii="Tahoma" w:hAnsi="Tahoma" w:cs="Tahoma"/>
      <w:sz w:val="16"/>
      <w:szCs w:val="16"/>
    </w:rPr>
  </w:style>
  <w:style w:type="paragraph" w:styleId="Koptekst">
    <w:name w:val="header"/>
    <w:basedOn w:val="Standaard"/>
    <w:link w:val="KoptekstChar"/>
    <w:uiPriority w:val="99"/>
    <w:rsid w:val="001B1A4C"/>
    <w:pPr>
      <w:tabs>
        <w:tab w:val="center" w:pos="4536"/>
        <w:tab w:val="right" w:pos="9072"/>
      </w:tabs>
    </w:pPr>
  </w:style>
  <w:style w:type="character" w:customStyle="1" w:styleId="KoptekstChar">
    <w:name w:val="Koptekst Char"/>
    <w:basedOn w:val="Standaardalinea-lettertype"/>
    <w:link w:val="Koptekst"/>
    <w:uiPriority w:val="99"/>
    <w:locked/>
    <w:rsid w:val="001B1A4C"/>
    <w:rPr>
      <w:rFonts w:cs="Times New Roman"/>
      <w:sz w:val="24"/>
      <w:szCs w:val="24"/>
    </w:rPr>
  </w:style>
  <w:style w:type="paragraph" w:styleId="Voettekst">
    <w:name w:val="footer"/>
    <w:basedOn w:val="Standaard"/>
    <w:link w:val="VoettekstChar"/>
    <w:uiPriority w:val="99"/>
    <w:rsid w:val="001B1A4C"/>
    <w:pPr>
      <w:tabs>
        <w:tab w:val="center" w:pos="4536"/>
        <w:tab w:val="right" w:pos="9072"/>
      </w:tabs>
    </w:pPr>
  </w:style>
  <w:style w:type="character" w:customStyle="1" w:styleId="VoettekstChar">
    <w:name w:val="Voettekst Char"/>
    <w:basedOn w:val="Standaardalinea-lettertype"/>
    <w:link w:val="Voettekst"/>
    <w:uiPriority w:val="99"/>
    <w:locked/>
    <w:rsid w:val="001B1A4C"/>
    <w:rPr>
      <w:rFonts w:cs="Times New Roman"/>
      <w:sz w:val="24"/>
      <w:szCs w:val="24"/>
    </w:rPr>
  </w:style>
  <w:style w:type="character" w:styleId="Hyperlink">
    <w:name w:val="Hyperlink"/>
    <w:basedOn w:val="Standaardalinea-lettertype"/>
    <w:uiPriority w:val="99"/>
    <w:unhideWhenUsed/>
    <w:rsid w:val="00927124"/>
    <w:rPr>
      <w:color w:val="0000FF" w:themeColor="hyperlink"/>
      <w:u w:val="single"/>
    </w:rPr>
  </w:style>
  <w:style w:type="paragraph" w:customStyle="1" w:styleId="text">
    <w:name w:val="text"/>
    <w:basedOn w:val="Standaard"/>
    <w:rsid w:val="00927124"/>
    <w:pPr>
      <w:spacing w:after="240" w:line="360" w:lineRule="auto"/>
    </w:pPr>
    <w:rPr>
      <w:rFonts w:ascii="Arial" w:hAnsi="Arial"/>
      <w:sz w:val="20"/>
      <w:szCs w:val="20"/>
      <w:lang w:val="de-DE" w:eastAsia="de-DE"/>
    </w:rPr>
  </w:style>
  <w:style w:type="table" w:styleId="Tabelraster">
    <w:name w:val="Table Grid"/>
    <w:basedOn w:val="Standaardtabel"/>
    <w:locked/>
    <w:rsid w:val="006D41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6585625">
      <w:bodyDiv w:val="1"/>
      <w:marLeft w:val="0"/>
      <w:marRight w:val="0"/>
      <w:marTop w:val="0"/>
      <w:marBottom w:val="0"/>
      <w:divBdr>
        <w:top w:val="none" w:sz="0" w:space="0" w:color="auto"/>
        <w:left w:val="none" w:sz="0" w:space="0" w:color="auto"/>
        <w:bottom w:val="none" w:sz="0" w:space="0" w:color="auto"/>
        <w:right w:val="none" w:sz="0" w:space="0" w:color="auto"/>
      </w:divBdr>
      <w:divsChild>
        <w:div w:id="1654018331">
          <w:marLeft w:val="0"/>
          <w:marRight w:val="0"/>
          <w:marTop w:val="0"/>
          <w:marBottom w:val="0"/>
          <w:divBdr>
            <w:top w:val="none" w:sz="0" w:space="0" w:color="auto"/>
            <w:left w:val="none" w:sz="0" w:space="0" w:color="auto"/>
            <w:bottom w:val="none" w:sz="0" w:space="0" w:color="auto"/>
            <w:right w:val="none" w:sz="0" w:space="0" w:color="auto"/>
          </w:divBdr>
          <w:divsChild>
            <w:div w:id="390425316">
              <w:marLeft w:val="0"/>
              <w:marRight w:val="0"/>
              <w:marTop w:val="600"/>
              <w:marBottom w:val="0"/>
              <w:divBdr>
                <w:top w:val="none" w:sz="0" w:space="0" w:color="auto"/>
                <w:left w:val="none" w:sz="0" w:space="0" w:color="auto"/>
                <w:bottom w:val="none" w:sz="0" w:space="0" w:color="auto"/>
                <w:right w:val="none" w:sz="0" w:space="0" w:color="auto"/>
              </w:divBdr>
              <w:divsChild>
                <w:div w:id="950742424">
                  <w:marLeft w:val="0"/>
                  <w:marRight w:val="0"/>
                  <w:marTop w:val="0"/>
                  <w:marBottom w:val="0"/>
                  <w:divBdr>
                    <w:top w:val="none" w:sz="0" w:space="0" w:color="auto"/>
                    <w:left w:val="none" w:sz="0" w:space="0" w:color="auto"/>
                    <w:bottom w:val="none" w:sz="0" w:space="0" w:color="auto"/>
                    <w:right w:val="none" w:sz="0" w:space="0" w:color="auto"/>
                  </w:divBdr>
                </w:div>
                <w:div w:id="836459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857936">
      <w:bodyDiv w:val="1"/>
      <w:marLeft w:val="0"/>
      <w:marRight w:val="0"/>
      <w:marTop w:val="0"/>
      <w:marBottom w:val="0"/>
      <w:divBdr>
        <w:top w:val="none" w:sz="0" w:space="0" w:color="auto"/>
        <w:left w:val="none" w:sz="0" w:space="0" w:color="auto"/>
        <w:bottom w:val="none" w:sz="0" w:space="0" w:color="auto"/>
        <w:right w:val="none" w:sz="0" w:space="0" w:color="auto"/>
      </w:divBdr>
    </w:div>
    <w:div w:id="760875446">
      <w:bodyDiv w:val="1"/>
      <w:marLeft w:val="0"/>
      <w:marRight w:val="0"/>
      <w:marTop w:val="0"/>
      <w:marBottom w:val="0"/>
      <w:divBdr>
        <w:top w:val="none" w:sz="0" w:space="0" w:color="auto"/>
        <w:left w:val="none" w:sz="0" w:space="0" w:color="auto"/>
        <w:bottom w:val="none" w:sz="0" w:space="0" w:color="auto"/>
        <w:right w:val="none" w:sz="0" w:space="0" w:color="auto"/>
      </w:divBdr>
    </w:div>
    <w:div w:id="1304964729">
      <w:bodyDiv w:val="1"/>
      <w:marLeft w:val="0"/>
      <w:marRight w:val="0"/>
      <w:marTop w:val="0"/>
      <w:marBottom w:val="0"/>
      <w:divBdr>
        <w:top w:val="none" w:sz="0" w:space="0" w:color="auto"/>
        <w:left w:val="none" w:sz="0" w:space="0" w:color="auto"/>
        <w:bottom w:val="none" w:sz="0" w:space="0" w:color="auto"/>
        <w:right w:val="none" w:sz="0" w:space="0" w:color="auto"/>
      </w:divBdr>
    </w:div>
    <w:div w:id="1782260908">
      <w:marLeft w:val="0"/>
      <w:marRight w:val="0"/>
      <w:marTop w:val="0"/>
      <w:marBottom w:val="0"/>
      <w:divBdr>
        <w:top w:val="none" w:sz="0" w:space="0" w:color="auto"/>
        <w:left w:val="none" w:sz="0" w:space="0" w:color="auto"/>
        <w:bottom w:val="none" w:sz="0" w:space="0" w:color="auto"/>
        <w:right w:val="none" w:sz="0" w:space="0" w:color="auto"/>
      </w:divBdr>
    </w:div>
    <w:div w:id="2044597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20Franke\AppData\Roaming\Microsoft\Sjablonen\Artikel%20Beta%20PR%20&amp;%20Medi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7FAF8EE655CF442806C984C031ED610" ma:contentTypeVersion="0" ma:contentTypeDescription="Een nieuw document maken." ma:contentTypeScope="" ma:versionID="b0b21ebce86e67d458c4b117abdd4194">
  <xsd:schema xmlns:xsd="http://www.w3.org/2001/XMLSchema" xmlns:xs="http://www.w3.org/2001/XMLSchema" xmlns:p="http://schemas.microsoft.com/office/2006/metadata/properties" targetNamespace="http://schemas.microsoft.com/office/2006/metadata/properties" ma:root="true" ma:fieldsID="3ad90c4397f78c73c049e37fec9ab90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32E0969-733D-45C8-96E1-3A49B0AA2A63}">
  <ds:schemaRefs>
    <ds:schemaRef ds:uri="http://schemas.microsoft.com/sharepoint/v3/contenttype/forms"/>
  </ds:schemaRefs>
</ds:datastoreItem>
</file>

<file path=customXml/itemProps2.xml><?xml version="1.0" encoding="utf-8"?>
<ds:datastoreItem xmlns:ds="http://schemas.openxmlformats.org/officeDocument/2006/customXml" ds:itemID="{F68647F5-B8BE-4764-937A-4A6AB038ED4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EF4D31D2-1030-4664-873D-98A576992AD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Artikel Beta PR &amp; Media</Template>
  <TotalTime>11</TotalTime>
  <Pages>4</Pages>
  <Words>1269</Words>
  <Characters>6981</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BETA Public Relations B</vt:lpstr>
    </vt:vector>
  </TitlesOfParts>
  <Company>BETA Public Relations B.V.</Company>
  <LinksUpToDate>false</LinksUpToDate>
  <CharactersWithSpaces>8234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BETA Public Relations B</dc:title>
  <dc:creator>Martin Franke</dc:creator>
  <cp:lastModifiedBy>Claudine</cp:lastModifiedBy>
  <cp:revision>3</cp:revision>
  <cp:lastPrinted>2015-11-03T16:28:00Z</cp:lastPrinted>
  <dcterms:created xsi:type="dcterms:W3CDTF">2015-11-03T16:31:00Z</dcterms:created>
  <dcterms:modified xsi:type="dcterms:W3CDTF">2015-11-03T16:41:00Z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0x010100B7FAF8EE655CF442806C984C031ED610</vt:lpwstr>
  </property>
</Properties>
</file>